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A510" w14:textId="1CDA8EEA" w:rsidR="00865368" w:rsidRDefault="00D61CC7" w:rsidP="00865368">
      <w:pPr>
        <w:pStyle w:val="Title"/>
      </w:pPr>
      <w:r>
        <w:t>Workshop II Analysis Summary</w:t>
      </w:r>
    </w:p>
    <w:p w14:paraId="1F4FE136" w14:textId="080B392B" w:rsidR="00865368" w:rsidRDefault="00422A65" w:rsidP="00865368">
      <w:pPr>
        <w:pStyle w:val="Subtitle"/>
      </w:pPr>
      <w:r>
        <w:t xml:space="preserve">DHS </w:t>
      </w:r>
      <w:r w:rsidR="00865368">
        <w:t>Case and workload study</w:t>
      </w:r>
    </w:p>
    <w:p w14:paraId="0B40E3B4" w14:textId="47AFB05B" w:rsidR="008219F4" w:rsidRPr="00422A65" w:rsidRDefault="008219F4" w:rsidP="00865368">
      <w:pPr>
        <w:pStyle w:val="Heading2"/>
        <w:rPr>
          <w:szCs w:val="32"/>
        </w:rPr>
      </w:pPr>
      <w:r w:rsidRPr="00422A65">
        <w:rPr>
          <w:szCs w:val="32"/>
        </w:rPr>
        <w:t>Introduction</w:t>
      </w:r>
    </w:p>
    <w:p w14:paraId="7EF408F4" w14:textId="2FF72B87" w:rsidR="008219F4" w:rsidRDefault="008219F4" w:rsidP="00865368">
      <w:r>
        <w:t>Three workshops were held</w:t>
      </w:r>
      <w:r w:rsidR="00D24006">
        <w:t xml:space="preserve"> in June 2021</w:t>
      </w:r>
      <w:r>
        <w:t xml:space="preserve"> with Child Welfare Services caseworkers, </w:t>
      </w:r>
      <w:proofErr w:type="gramStart"/>
      <w:r>
        <w:t>supervisors</w:t>
      </w:r>
      <w:proofErr w:type="gramEnd"/>
      <w:r>
        <w:t xml:space="preserve"> and managers to learn about the factors that most impact caseworker workload intensity. </w:t>
      </w:r>
      <w:r w:rsidR="007114FA">
        <w:t xml:space="preserve">A set of </w:t>
      </w:r>
      <w:r w:rsidR="00865368">
        <w:t>64</w:t>
      </w:r>
      <w:r w:rsidR="007114FA">
        <w:t xml:space="preserve"> variables were offered to participants as those that most contribute to caseload intensity; some were related to a case and/or </w:t>
      </w:r>
      <w:proofErr w:type="gramStart"/>
      <w:r w:rsidR="007114FA">
        <w:t>it’s</w:t>
      </w:r>
      <w:proofErr w:type="gramEnd"/>
      <w:r w:rsidR="007114FA">
        <w:t xml:space="preserve"> phase, others were related to worker or agency characteristics. Attendees were also asked to describe characteristics of their lead agency that uniquely impact their workload. </w:t>
      </w:r>
      <w:r>
        <w:t>The following summary describes the key themes across the workshops.</w:t>
      </w:r>
    </w:p>
    <w:p w14:paraId="270BE4D5" w14:textId="14021DC7" w:rsidR="008219F4" w:rsidRDefault="00874420" w:rsidP="00865368">
      <w:pPr>
        <w:pStyle w:val="Heading2"/>
      </w:pPr>
      <w:r>
        <w:rPr>
          <w:noProof/>
        </w:rPr>
        <w:drawing>
          <wp:anchor distT="0" distB="0" distL="114300" distR="114300" simplePos="0" relativeHeight="251658240" behindDoc="1" locked="0" layoutInCell="1" allowOverlap="1" wp14:anchorId="53E33A51" wp14:editId="63E00AC6">
            <wp:simplePos x="0" y="0"/>
            <wp:positionH relativeFrom="column">
              <wp:posOffset>2865120</wp:posOffset>
            </wp:positionH>
            <wp:positionV relativeFrom="paragraph">
              <wp:posOffset>269875</wp:posOffset>
            </wp:positionV>
            <wp:extent cx="2983230" cy="1391920"/>
            <wp:effectExtent l="0" t="0" r="7620" b="0"/>
            <wp:wrapTight wrapText="bothSides">
              <wp:wrapPolygon edited="0">
                <wp:start x="0" y="0"/>
                <wp:lineTo x="0" y="21285"/>
                <wp:lineTo x="21517" y="21285"/>
                <wp:lineTo x="21517" y="0"/>
                <wp:lineTo x="0" y="0"/>
              </wp:wrapPolygon>
            </wp:wrapTight>
            <wp:docPr id="3" name="Chart 3">
              <a:extLst xmlns:a="http://schemas.openxmlformats.org/drawingml/2006/main">
                <a:ext uri="{FF2B5EF4-FFF2-40B4-BE49-F238E27FC236}">
                  <a16:creationId xmlns:a16="http://schemas.microsoft.com/office/drawing/2014/main" id="{EC3A0918-7334-4FEC-AB05-A6111DA28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8219F4" w:rsidRPr="008219F4">
        <w:t>Participation</w:t>
      </w:r>
      <w:r w:rsidR="007114FA">
        <w:t xml:space="preserve"> demographics</w:t>
      </w:r>
    </w:p>
    <w:p w14:paraId="47B5DE03" w14:textId="36316982" w:rsidR="00704F6E" w:rsidRPr="00C11636" w:rsidRDefault="00704F6E" w:rsidP="00865368">
      <w:pPr>
        <w:rPr>
          <w:rFonts w:cs="Times New Roman"/>
        </w:rPr>
      </w:pPr>
      <w:r w:rsidRPr="00C11636">
        <w:t>84 total lead agency staff participated in the workshops</w:t>
      </w:r>
      <w:r w:rsidR="006A6799" w:rsidRPr="00C11636">
        <w:t>.</w:t>
      </w:r>
      <w:r w:rsidR="00717F27" w:rsidRPr="00C11636">
        <w:t xml:space="preserve"> </w:t>
      </w:r>
      <w:r w:rsidR="00874420" w:rsidRPr="00C11636">
        <w:rPr>
          <w:b/>
          <w:bCs/>
        </w:rPr>
        <w:t xml:space="preserve">Most participants were from rural agencies (69%), and over half (58%) were case managers. </w:t>
      </w:r>
      <w:r w:rsidR="00874420" w:rsidRPr="00C11636">
        <w:t>Participants</w:t>
      </w:r>
      <w:r w:rsidR="00874420" w:rsidRPr="00C11636">
        <w:rPr>
          <w:rFonts w:cs="Times New Roman"/>
          <w:color w:val="47569A" w:themeColor="accent1" w:themeShade="BF"/>
        </w:rPr>
        <w:t xml:space="preserve"> </w:t>
      </w:r>
      <w:r w:rsidR="00874420" w:rsidRPr="00C11636">
        <w:rPr>
          <w:rFonts w:cs="Times New Roman"/>
        </w:rPr>
        <w:t xml:space="preserve">were </w:t>
      </w:r>
      <w:proofErr w:type="gramStart"/>
      <w:r w:rsidR="00874420" w:rsidRPr="00C11636">
        <w:rPr>
          <w:rFonts w:cs="Times New Roman"/>
        </w:rPr>
        <w:t>fairly evenly</w:t>
      </w:r>
      <w:proofErr w:type="gramEnd"/>
      <w:r w:rsidR="00874420" w:rsidRPr="00C11636">
        <w:rPr>
          <w:rFonts w:cs="Times New Roman"/>
        </w:rPr>
        <w:t xml:space="preserve"> spread across the different amount of time they had been in their current position</w:t>
      </w:r>
      <w:r w:rsidR="00331419">
        <w:rPr>
          <w:rFonts w:cs="Times New Roman"/>
        </w:rPr>
        <w:t xml:space="preserve"> (see chart)</w:t>
      </w:r>
      <w:r w:rsidR="00874420" w:rsidRPr="00C11636">
        <w:rPr>
          <w:rFonts w:cs="Times New Roman"/>
        </w:rPr>
        <w:t>.</w:t>
      </w:r>
    </w:p>
    <w:p w14:paraId="2A3FF105" w14:textId="5FA92B71" w:rsidR="003E2D21" w:rsidRDefault="00422A65" w:rsidP="00865368">
      <w:pPr>
        <w:pStyle w:val="Heading2"/>
      </w:pPr>
      <w:r>
        <w:t>Summary</w:t>
      </w:r>
    </w:p>
    <w:p w14:paraId="57D03E51" w14:textId="69828DBA" w:rsidR="00A91AA0" w:rsidRDefault="00A91AA0" w:rsidP="00865368">
      <w:pPr>
        <w:pStyle w:val="Heading3"/>
      </w:pPr>
      <w:r>
        <w:t>What variables to measure to understand workload intensity</w:t>
      </w:r>
    </w:p>
    <w:p w14:paraId="2350396E" w14:textId="14434195" w:rsidR="008219F4" w:rsidRPr="00A91AA0" w:rsidRDefault="008219F4" w:rsidP="00A91AA0">
      <w:r w:rsidRPr="00A91AA0">
        <w:t xml:space="preserve">Across all three workshops, </w:t>
      </w:r>
      <w:r w:rsidR="007114FA" w:rsidRPr="00A91AA0">
        <w:t xml:space="preserve">when asked which variables had the highest impact on a “high intensity” case, </w:t>
      </w:r>
      <w:r w:rsidRPr="00A91AA0">
        <w:t xml:space="preserve">the following </w:t>
      </w:r>
      <w:r w:rsidR="00865368" w:rsidRPr="00A91AA0">
        <w:t xml:space="preserve">had the highest number of votes </w:t>
      </w:r>
      <w:r w:rsidRPr="00A91AA0">
        <w:t>(20-30 votes)</w:t>
      </w:r>
      <w:r w:rsidR="00A91AA0">
        <w:t>:</w:t>
      </w:r>
    </w:p>
    <w:p w14:paraId="3EFFFB38" w14:textId="77777777" w:rsidR="00874420" w:rsidRDefault="00874420" w:rsidP="00A91AA0">
      <w:pPr>
        <w:pStyle w:val="ListParagraph"/>
        <w:numPr>
          <w:ilvl w:val="0"/>
          <w:numId w:val="13"/>
        </w:numPr>
        <w:sectPr w:rsidR="00874420">
          <w:footerReference w:type="default" r:id="rId9"/>
          <w:pgSz w:w="12240" w:h="15840"/>
          <w:pgMar w:top="1440" w:right="1440" w:bottom="1440" w:left="1440" w:header="720" w:footer="720" w:gutter="0"/>
          <w:cols w:space="720"/>
          <w:docGrid w:linePitch="360"/>
        </w:sectPr>
      </w:pPr>
    </w:p>
    <w:p w14:paraId="24187E0E" w14:textId="6AA109C0" w:rsidR="008219F4" w:rsidRPr="00A91AA0" w:rsidRDefault="008219F4" w:rsidP="00A91AA0">
      <w:pPr>
        <w:pStyle w:val="ListParagraph"/>
        <w:numPr>
          <w:ilvl w:val="0"/>
          <w:numId w:val="13"/>
        </w:numPr>
      </w:pPr>
      <w:r w:rsidRPr="00A91AA0">
        <w:t>Court involvement</w:t>
      </w:r>
    </w:p>
    <w:p w14:paraId="5AA8AD89" w14:textId="77777777" w:rsidR="008219F4" w:rsidRPr="00A91AA0" w:rsidRDefault="008219F4" w:rsidP="00A91AA0">
      <w:pPr>
        <w:pStyle w:val="ListParagraph"/>
        <w:numPr>
          <w:ilvl w:val="0"/>
          <w:numId w:val="13"/>
        </w:numPr>
      </w:pPr>
      <w:r w:rsidRPr="00A91AA0">
        <w:t>Number/severity of family needs</w:t>
      </w:r>
    </w:p>
    <w:p w14:paraId="1416416E" w14:textId="27BB7EF0" w:rsidR="008219F4" w:rsidRPr="00A91AA0" w:rsidRDefault="008219F4" w:rsidP="00A91AA0">
      <w:pPr>
        <w:pStyle w:val="ListParagraph"/>
        <w:numPr>
          <w:ilvl w:val="0"/>
          <w:numId w:val="13"/>
        </w:numPr>
      </w:pPr>
      <w:r w:rsidRPr="00A91AA0">
        <w:t>Barriers to engaging with child/family</w:t>
      </w:r>
      <w:r w:rsidR="007114FA" w:rsidRPr="00A91AA0">
        <w:rPr>
          <w:vertAlign w:val="superscript"/>
        </w:rPr>
        <w:footnoteReference w:id="1"/>
      </w:r>
    </w:p>
    <w:p w14:paraId="34D8D893" w14:textId="77777777" w:rsidR="008219F4" w:rsidRPr="00A91AA0" w:rsidRDefault="008219F4" w:rsidP="00A91AA0">
      <w:pPr>
        <w:pStyle w:val="ListParagraph"/>
        <w:numPr>
          <w:ilvl w:val="0"/>
          <w:numId w:val="13"/>
        </w:numPr>
      </w:pPr>
      <w:r w:rsidRPr="00A91AA0">
        <w:t>Type of case</w:t>
      </w:r>
    </w:p>
    <w:p w14:paraId="7DF96168" w14:textId="2575098B" w:rsidR="008219F4" w:rsidRPr="00A91AA0" w:rsidRDefault="008219F4" w:rsidP="00A91AA0">
      <w:pPr>
        <w:pStyle w:val="ListParagraph"/>
        <w:numPr>
          <w:ilvl w:val="0"/>
          <w:numId w:val="13"/>
        </w:numPr>
      </w:pPr>
      <w:r w:rsidRPr="00A91AA0">
        <w:t>ICWA involvement</w:t>
      </w:r>
      <w:r w:rsidR="007114FA" w:rsidRPr="00A91AA0">
        <w:rPr>
          <w:vertAlign w:val="superscript"/>
        </w:rPr>
        <w:footnoteReference w:id="2"/>
      </w:r>
    </w:p>
    <w:p w14:paraId="631AC319" w14:textId="77777777" w:rsidR="008219F4" w:rsidRPr="00A91AA0" w:rsidRDefault="008219F4" w:rsidP="00A91AA0">
      <w:pPr>
        <w:pStyle w:val="ListParagraph"/>
        <w:numPr>
          <w:ilvl w:val="0"/>
          <w:numId w:val="13"/>
        </w:numPr>
      </w:pPr>
      <w:r w:rsidRPr="00A91AA0">
        <w:t>CP worker experience/skillset</w:t>
      </w:r>
    </w:p>
    <w:p w14:paraId="0C3CE448" w14:textId="22ECDEAC" w:rsidR="008219F4" w:rsidRPr="00A91AA0" w:rsidRDefault="008219F4" w:rsidP="00A91AA0">
      <w:pPr>
        <w:pStyle w:val="ListParagraph"/>
        <w:numPr>
          <w:ilvl w:val="0"/>
          <w:numId w:val="13"/>
        </w:numPr>
      </w:pPr>
      <w:r w:rsidRPr="00A91AA0">
        <w:t>Level of child need</w:t>
      </w:r>
    </w:p>
    <w:p w14:paraId="4F3C6D69" w14:textId="77777777" w:rsidR="00874420" w:rsidRDefault="00874420" w:rsidP="00A91AA0">
      <w:pPr>
        <w:sectPr w:rsidR="00874420" w:rsidSect="00874420">
          <w:type w:val="continuous"/>
          <w:pgSz w:w="12240" w:h="15840"/>
          <w:pgMar w:top="1440" w:right="1440" w:bottom="1440" w:left="1440" w:header="720" w:footer="720" w:gutter="0"/>
          <w:cols w:num="2" w:space="720"/>
          <w:docGrid w:linePitch="360"/>
        </w:sectPr>
      </w:pPr>
    </w:p>
    <w:p w14:paraId="14D9D734" w14:textId="7D555F78" w:rsidR="00681A1B" w:rsidRPr="00A91AA0" w:rsidRDefault="00681A1B" w:rsidP="00A91AA0">
      <w:r w:rsidRPr="00A91AA0">
        <w:t xml:space="preserve">When given </w:t>
      </w:r>
      <w:r w:rsidR="00865368" w:rsidRPr="00A91AA0">
        <w:t>the top</w:t>
      </w:r>
      <w:r w:rsidRPr="00A91AA0">
        <w:t xml:space="preserve"> 15</w:t>
      </w:r>
      <w:r w:rsidR="00865368" w:rsidRPr="00A91AA0">
        <w:t xml:space="preserve"> voted</w:t>
      </w:r>
      <w:r w:rsidRPr="00A91AA0">
        <w:t xml:space="preserve"> variables to weight, the priority </w:t>
      </w:r>
      <w:r w:rsidR="00865368" w:rsidRPr="00A91AA0">
        <w:t>(</w:t>
      </w:r>
      <w:proofErr w:type="gramStart"/>
      <w:r w:rsidR="00865368" w:rsidRPr="00A91AA0">
        <w:t>e.g.</w:t>
      </w:r>
      <w:proofErr w:type="gramEnd"/>
      <w:r w:rsidR="00865368" w:rsidRPr="00A91AA0">
        <w:t xml:space="preserve"> number of votes per variable) </w:t>
      </w:r>
      <w:r w:rsidRPr="00A91AA0">
        <w:t>changed slightly:</w:t>
      </w:r>
    </w:p>
    <w:p w14:paraId="5C57A048" w14:textId="77777777" w:rsidR="00874420" w:rsidRDefault="00874420" w:rsidP="00A91AA0">
      <w:pPr>
        <w:pStyle w:val="ListParagraph"/>
        <w:numPr>
          <w:ilvl w:val="0"/>
          <w:numId w:val="14"/>
        </w:numPr>
        <w:sectPr w:rsidR="00874420" w:rsidSect="00874420">
          <w:type w:val="continuous"/>
          <w:pgSz w:w="12240" w:h="15840"/>
          <w:pgMar w:top="1440" w:right="1440" w:bottom="1440" w:left="1440" w:header="720" w:footer="720" w:gutter="0"/>
          <w:cols w:space="720"/>
          <w:docGrid w:linePitch="360"/>
        </w:sectPr>
      </w:pPr>
    </w:p>
    <w:p w14:paraId="23C93903" w14:textId="5C3E47DC" w:rsidR="00681A1B" w:rsidRPr="00A91AA0" w:rsidRDefault="00681A1B" w:rsidP="00A91AA0">
      <w:pPr>
        <w:pStyle w:val="ListParagraph"/>
        <w:numPr>
          <w:ilvl w:val="0"/>
          <w:numId w:val="14"/>
        </w:numPr>
      </w:pPr>
      <w:r w:rsidRPr="00A91AA0">
        <w:t>Court involvement</w:t>
      </w:r>
    </w:p>
    <w:p w14:paraId="799CDC03" w14:textId="77777777" w:rsidR="00681A1B" w:rsidRPr="00A91AA0" w:rsidRDefault="00681A1B" w:rsidP="00A91AA0">
      <w:pPr>
        <w:pStyle w:val="ListParagraph"/>
        <w:numPr>
          <w:ilvl w:val="0"/>
          <w:numId w:val="14"/>
        </w:numPr>
      </w:pPr>
      <w:r w:rsidRPr="00A91AA0">
        <w:t>Type of case</w:t>
      </w:r>
    </w:p>
    <w:p w14:paraId="11B15A93" w14:textId="77777777" w:rsidR="00681A1B" w:rsidRPr="00A91AA0" w:rsidRDefault="00681A1B" w:rsidP="00A91AA0">
      <w:pPr>
        <w:pStyle w:val="ListParagraph"/>
        <w:numPr>
          <w:ilvl w:val="0"/>
          <w:numId w:val="14"/>
        </w:numPr>
      </w:pPr>
      <w:r w:rsidRPr="00A91AA0">
        <w:t>ICWA involvement</w:t>
      </w:r>
    </w:p>
    <w:p w14:paraId="5BEC7A10" w14:textId="77777777" w:rsidR="00681A1B" w:rsidRPr="00A91AA0" w:rsidRDefault="00681A1B" w:rsidP="00A91AA0">
      <w:pPr>
        <w:pStyle w:val="ListParagraph"/>
        <w:numPr>
          <w:ilvl w:val="0"/>
          <w:numId w:val="14"/>
        </w:numPr>
      </w:pPr>
      <w:r w:rsidRPr="00A91AA0">
        <w:t>Number/severity of family needs</w:t>
      </w:r>
    </w:p>
    <w:p w14:paraId="1A13AEA7" w14:textId="77777777" w:rsidR="00681A1B" w:rsidRPr="00A91AA0" w:rsidRDefault="00681A1B" w:rsidP="00A91AA0">
      <w:pPr>
        <w:pStyle w:val="ListParagraph"/>
        <w:numPr>
          <w:ilvl w:val="0"/>
          <w:numId w:val="14"/>
        </w:numPr>
      </w:pPr>
      <w:r w:rsidRPr="00A91AA0">
        <w:t>Barriers to engaging with child/</w:t>
      </w:r>
      <w:proofErr w:type="gramStart"/>
      <w:r w:rsidRPr="00A91AA0">
        <w:t>family</w:t>
      </w:r>
      <w:proofErr w:type="gramEnd"/>
    </w:p>
    <w:p w14:paraId="001FF34C" w14:textId="77777777" w:rsidR="00681A1B" w:rsidRPr="00A91AA0" w:rsidRDefault="00681A1B" w:rsidP="00A91AA0">
      <w:pPr>
        <w:pStyle w:val="ListParagraph"/>
        <w:numPr>
          <w:ilvl w:val="0"/>
          <w:numId w:val="14"/>
        </w:numPr>
      </w:pPr>
      <w:r w:rsidRPr="00A91AA0">
        <w:t>CP worker experience/skillset</w:t>
      </w:r>
    </w:p>
    <w:p w14:paraId="12F3C792" w14:textId="1573113D" w:rsidR="00681A1B" w:rsidRDefault="00681A1B" w:rsidP="00A91AA0">
      <w:pPr>
        <w:pStyle w:val="ListParagraph"/>
        <w:numPr>
          <w:ilvl w:val="0"/>
          <w:numId w:val="14"/>
        </w:numPr>
      </w:pPr>
      <w:r w:rsidRPr="00A91AA0">
        <w:t>Level of child need</w:t>
      </w:r>
    </w:p>
    <w:p w14:paraId="08C509D8" w14:textId="77777777" w:rsidR="00874420" w:rsidRDefault="00874420" w:rsidP="00422A65">
      <w:pPr>
        <w:sectPr w:rsidR="00874420" w:rsidSect="00874420">
          <w:type w:val="continuous"/>
          <w:pgSz w:w="12240" w:h="15840"/>
          <w:pgMar w:top="1440" w:right="1440" w:bottom="1440" w:left="1440" w:header="720" w:footer="720" w:gutter="0"/>
          <w:cols w:num="2" w:space="720"/>
          <w:docGrid w:linePitch="360"/>
        </w:sectPr>
      </w:pPr>
    </w:p>
    <w:p w14:paraId="7A6912B8" w14:textId="28ACD06F" w:rsidR="00422A65" w:rsidRPr="00A91AA0" w:rsidRDefault="00422A65" w:rsidP="00422A65">
      <w:r>
        <w:t>These seven variables are likely candidates for measuring workload across the state.</w:t>
      </w:r>
    </w:p>
    <w:p w14:paraId="58242453" w14:textId="6CE1922F" w:rsidR="00865368" w:rsidRDefault="00A91AA0" w:rsidP="00865368">
      <w:pPr>
        <w:pStyle w:val="Heading3"/>
      </w:pPr>
      <w:r>
        <w:t>How workload intensity v</w:t>
      </w:r>
      <w:r w:rsidR="00681A1B" w:rsidRPr="00681A1B">
        <w:t>ariable</w:t>
      </w:r>
      <w:r>
        <w:t>s are defined</w:t>
      </w:r>
    </w:p>
    <w:p w14:paraId="480D0AE1" w14:textId="77777777" w:rsidR="00422A65" w:rsidRPr="00C11636" w:rsidRDefault="00681A1B" w:rsidP="00681A1B">
      <w:pPr>
        <w:rPr>
          <w:rFonts w:cs="Times New Roman"/>
        </w:rPr>
      </w:pPr>
      <w:r w:rsidRPr="00C11636">
        <w:rPr>
          <w:rFonts w:cs="Times New Roman"/>
        </w:rPr>
        <w:t>The</w:t>
      </w:r>
      <w:r w:rsidR="006A45B2" w:rsidRPr="00C11636">
        <w:rPr>
          <w:rFonts w:cs="Times New Roman"/>
        </w:rPr>
        <w:t xml:space="preserve"> following</w:t>
      </w:r>
      <w:r w:rsidRPr="00C11636">
        <w:rPr>
          <w:rFonts w:cs="Times New Roman"/>
        </w:rPr>
        <w:t xml:space="preserve"> </w:t>
      </w:r>
      <w:r w:rsidR="006A45B2" w:rsidRPr="00C11636">
        <w:rPr>
          <w:rFonts w:cs="Times New Roman"/>
        </w:rPr>
        <w:t xml:space="preserve">table provides definitions for each of the prioritized variables that create a more highly intense workload. By describing what the variable looks like </w:t>
      </w:r>
      <w:proofErr w:type="spellStart"/>
      <w:r w:rsidR="006A45B2" w:rsidRPr="00C11636">
        <w:rPr>
          <w:rFonts w:cs="Times New Roman"/>
        </w:rPr>
        <w:t>at</w:t>
      </w:r>
      <w:proofErr w:type="spellEnd"/>
      <w:r w:rsidR="006A45B2" w:rsidRPr="00C11636">
        <w:rPr>
          <w:rFonts w:cs="Times New Roman"/>
        </w:rPr>
        <w:t xml:space="preserve"> “high intensity” as well as what it looks like </w:t>
      </w:r>
      <w:proofErr w:type="spellStart"/>
      <w:r w:rsidR="006A45B2" w:rsidRPr="00C11636">
        <w:rPr>
          <w:rFonts w:cs="Times New Roman"/>
        </w:rPr>
        <w:t>at</w:t>
      </w:r>
      <w:proofErr w:type="spellEnd"/>
      <w:r w:rsidR="006A45B2" w:rsidRPr="00C11636">
        <w:rPr>
          <w:rFonts w:cs="Times New Roman"/>
        </w:rPr>
        <w:t xml:space="preserve"> “low intensity,” the research team can look for related or available quantitative </w:t>
      </w:r>
      <w:r w:rsidR="006A45B2" w:rsidRPr="00C11636">
        <w:rPr>
          <w:rFonts w:cs="Times New Roman"/>
        </w:rPr>
        <w:lastRenderedPageBreak/>
        <w:t xml:space="preserve">data points </w:t>
      </w:r>
      <w:r w:rsidR="00422A65" w:rsidRPr="00C11636">
        <w:rPr>
          <w:rFonts w:cs="Times New Roman"/>
        </w:rPr>
        <w:t xml:space="preserve">(in SSIS) </w:t>
      </w:r>
      <w:r w:rsidR="006A45B2" w:rsidRPr="00C11636">
        <w:rPr>
          <w:rFonts w:cs="Times New Roman"/>
        </w:rPr>
        <w:t xml:space="preserve">that can be measured per case (or worker). </w:t>
      </w:r>
      <w:r w:rsidR="00422A65" w:rsidRPr="00C11636">
        <w:rPr>
          <w:rFonts w:cs="Times New Roman"/>
        </w:rPr>
        <w:t xml:space="preserve">If they do not exist in SSIS, they can be translated into a tool for measurement. </w:t>
      </w:r>
    </w:p>
    <w:p w14:paraId="39C70127" w14:textId="0B389D34" w:rsidR="00681A1B" w:rsidRPr="00C11636" w:rsidRDefault="006A45B2" w:rsidP="00681A1B">
      <w:pPr>
        <w:rPr>
          <w:rFonts w:cs="Times New Roman"/>
        </w:rPr>
      </w:pPr>
      <w:r w:rsidRPr="00C11636">
        <w:rPr>
          <w:rFonts w:cs="Times New Roman"/>
        </w:rPr>
        <w:t xml:space="preserve">These definitions further provide guidance to assist with a future monitoring system. If any additional data will need to be collected to show intensity of caseloads/workloads, these definitions are rooted in caseworker experience and can be referenced as criteria for </w:t>
      </w:r>
      <w:r w:rsidR="00422A65" w:rsidRPr="00C11636">
        <w:rPr>
          <w:rFonts w:cs="Times New Roman"/>
        </w:rPr>
        <w:t>whether</w:t>
      </w:r>
      <w:r w:rsidRPr="00C11636">
        <w:rPr>
          <w:rFonts w:cs="Times New Roman"/>
        </w:rPr>
        <w:t>, or to what extent, the variable exists.</w:t>
      </w:r>
    </w:p>
    <w:tbl>
      <w:tblPr>
        <w:tblStyle w:val="GridTable2-Accent1"/>
        <w:tblW w:w="5000" w:type="pct"/>
        <w:tblLook w:val="04A0" w:firstRow="1" w:lastRow="0" w:firstColumn="1" w:lastColumn="0" w:noHBand="0" w:noVBand="1"/>
      </w:tblPr>
      <w:tblGrid>
        <w:gridCol w:w="2183"/>
        <w:gridCol w:w="3577"/>
        <w:gridCol w:w="3600"/>
      </w:tblGrid>
      <w:tr w:rsidR="00492849" w:rsidRPr="00C11636" w14:paraId="45BCBDE8" w14:textId="77777777" w:rsidTr="00C116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6" w:type="pct"/>
          </w:tcPr>
          <w:p w14:paraId="2859CC34" w14:textId="05700C47" w:rsidR="00492849" w:rsidRPr="00C11636" w:rsidRDefault="006A45B2" w:rsidP="00572C7A">
            <w:pPr>
              <w:rPr>
                <w:rFonts w:cs="Times New Roman"/>
              </w:rPr>
            </w:pPr>
            <w:r w:rsidRPr="00C11636">
              <w:rPr>
                <w:rFonts w:cs="Times New Roman"/>
              </w:rPr>
              <w:t>Variable/Factor</w:t>
            </w:r>
          </w:p>
        </w:tc>
        <w:tc>
          <w:tcPr>
            <w:tcW w:w="1911" w:type="pct"/>
          </w:tcPr>
          <w:p w14:paraId="17FBA89B" w14:textId="420F72B1" w:rsidR="00492849" w:rsidRPr="00C11636" w:rsidRDefault="00492849" w:rsidP="00492849">
            <w:pPr>
              <w:cnfStyle w:val="100000000000" w:firstRow="1" w:lastRow="0" w:firstColumn="0" w:lastColumn="0" w:oddVBand="0" w:evenVBand="0" w:oddHBand="0" w:evenHBand="0" w:firstRowFirstColumn="0" w:firstRowLastColumn="0" w:lastRowFirstColumn="0" w:lastRowLastColumn="0"/>
              <w:rPr>
                <w:rFonts w:cs="Times New Roman"/>
              </w:rPr>
            </w:pPr>
            <w:r w:rsidRPr="00C11636">
              <w:rPr>
                <w:rFonts w:cs="Times New Roman"/>
              </w:rPr>
              <w:t>High intensity</w:t>
            </w:r>
          </w:p>
        </w:tc>
        <w:tc>
          <w:tcPr>
            <w:tcW w:w="1923" w:type="pct"/>
          </w:tcPr>
          <w:p w14:paraId="2C800140" w14:textId="4E1D69BA" w:rsidR="00492849" w:rsidRPr="00C11636" w:rsidRDefault="00492849" w:rsidP="00492849">
            <w:pPr>
              <w:cnfStyle w:val="100000000000" w:firstRow="1" w:lastRow="0" w:firstColumn="0" w:lastColumn="0" w:oddVBand="0" w:evenVBand="0" w:oddHBand="0" w:evenHBand="0" w:firstRowFirstColumn="0" w:firstRowLastColumn="0" w:lastRowFirstColumn="0" w:lastRowLastColumn="0"/>
              <w:rPr>
                <w:rFonts w:cs="Times New Roman"/>
              </w:rPr>
            </w:pPr>
            <w:r w:rsidRPr="00C11636">
              <w:rPr>
                <w:rFonts w:cs="Times New Roman"/>
              </w:rPr>
              <w:t>Low intensity</w:t>
            </w:r>
          </w:p>
        </w:tc>
      </w:tr>
      <w:tr w:rsidR="00492849" w:rsidRPr="00C11636" w14:paraId="387269A6" w14:textId="6FB9EAFB" w:rsidTr="00C1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78999EEA" w14:textId="77777777" w:rsidR="00492849" w:rsidRPr="00C11636" w:rsidRDefault="00492849" w:rsidP="00492849">
            <w:pPr>
              <w:rPr>
                <w:rFonts w:cs="Times New Roman"/>
              </w:rPr>
            </w:pPr>
            <w:r w:rsidRPr="00C11636">
              <w:rPr>
                <w:rFonts w:cs="Times New Roman"/>
              </w:rPr>
              <w:t>Court involvement</w:t>
            </w:r>
          </w:p>
        </w:tc>
        <w:tc>
          <w:tcPr>
            <w:tcW w:w="1911" w:type="pct"/>
          </w:tcPr>
          <w:p w14:paraId="4011CC83" w14:textId="015FCD82" w:rsidR="00492849" w:rsidRPr="00C11636" w:rsidRDefault="00492849" w:rsidP="00492849">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color w:val="000000"/>
              </w:rPr>
              <w:t>Higher number of parties and processes involved.</w:t>
            </w:r>
          </w:p>
        </w:tc>
        <w:tc>
          <w:tcPr>
            <w:tcW w:w="1923" w:type="pct"/>
          </w:tcPr>
          <w:p w14:paraId="4A789725" w14:textId="535BA587" w:rsidR="00492849" w:rsidRPr="00C11636" w:rsidRDefault="00492849" w:rsidP="00492849">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color w:val="000000"/>
              </w:rPr>
              <w:t>Parents cooperate with services</w:t>
            </w:r>
          </w:p>
        </w:tc>
      </w:tr>
      <w:tr w:rsidR="00492849" w:rsidRPr="00C11636" w14:paraId="313DE5CE" w14:textId="0F4B38F1" w:rsidTr="00C11636">
        <w:tc>
          <w:tcPr>
            <w:cnfStyle w:val="001000000000" w:firstRow="0" w:lastRow="0" w:firstColumn="1" w:lastColumn="0" w:oddVBand="0" w:evenVBand="0" w:oddHBand="0" w:evenHBand="0" w:firstRowFirstColumn="0" w:firstRowLastColumn="0" w:lastRowFirstColumn="0" w:lastRowLastColumn="0"/>
            <w:tcW w:w="1166" w:type="pct"/>
          </w:tcPr>
          <w:p w14:paraId="184BDBDA" w14:textId="77777777" w:rsidR="00492849" w:rsidRPr="00C11636" w:rsidRDefault="00492849" w:rsidP="00492849">
            <w:pPr>
              <w:rPr>
                <w:rFonts w:cs="Times New Roman"/>
              </w:rPr>
            </w:pPr>
            <w:r w:rsidRPr="00C11636">
              <w:rPr>
                <w:rFonts w:cs="Times New Roman"/>
              </w:rPr>
              <w:t>Type of case</w:t>
            </w:r>
          </w:p>
        </w:tc>
        <w:tc>
          <w:tcPr>
            <w:tcW w:w="1911" w:type="pct"/>
          </w:tcPr>
          <w:p w14:paraId="6C4B7971" w14:textId="282B219A" w:rsidR="00492849" w:rsidRPr="00C11636" w:rsidRDefault="00492849"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Sexual abuse, neglect, and overall abuse of child.</w:t>
            </w:r>
          </w:p>
        </w:tc>
        <w:tc>
          <w:tcPr>
            <w:tcW w:w="1923" w:type="pct"/>
          </w:tcPr>
          <w:p w14:paraId="53D42880" w14:textId="19B4E385" w:rsidR="00492849" w:rsidRPr="00C11636" w:rsidRDefault="00492849"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Marijuana usage, and inadequate supervision</w:t>
            </w:r>
          </w:p>
        </w:tc>
      </w:tr>
      <w:tr w:rsidR="00492849" w:rsidRPr="00C11636" w14:paraId="2C5EB667" w14:textId="0D22A420" w:rsidTr="00C1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2EA5DEBD" w14:textId="77777777" w:rsidR="00492849" w:rsidRPr="00C11636" w:rsidRDefault="00492849" w:rsidP="00572C7A">
            <w:pPr>
              <w:rPr>
                <w:rFonts w:cs="Times New Roman"/>
              </w:rPr>
            </w:pPr>
            <w:r w:rsidRPr="00C11636">
              <w:rPr>
                <w:rFonts w:cs="Times New Roman"/>
              </w:rPr>
              <w:t>ICWA involvement</w:t>
            </w:r>
          </w:p>
        </w:tc>
        <w:tc>
          <w:tcPr>
            <w:tcW w:w="1911" w:type="pct"/>
          </w:tcPr>
          <w:p w14:paraId="6CC26676" w14:textId="0AB8AAB4" w:rsidR="00492849" w:rsidRPr="00C11636" w:rsidRDefault="006A45B2" w:rsidP="006A45B2">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rPr>
              <w:t>Child meets ICWA criteria</w:t>
            </w:r>
          </w:p>
        </w:tc>
        <w:tc>
          <w:tcPr>
            <w:tcW w:w="1923" w:type="pct"/>
          </w:tcPr>
          <w:p w14:paraId="04FF0924" w14:textId="0CE45034" w:rsidR="00492849" w:rsidRPr="00C11636" w:rsidRDefault="006A45B2" w:rsidP="006A45B2">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rPr>
              <w:t>Child does not identify as Native American</w:t>
            </w:r>
          </w:p>
        </w:tc>
      </w:tr>
      <w:tr w:rsidR="00492849" w:rsidRPr="00C11636" w14:paraId="320B3660" w14:textId="470E4F51" w:rsidTr="00C11636">
        <w:tc>
          <w:tcPr>
            <w:cnfStyle w:val="001000000000" w:firstRow="0" w:lastRow="0" w:firstColumn="1" w:lastColumn="0" w:oddVBand="0" w:evenVBand="0" w:oddHBand="0" w:evenHBand="0" w:firstRowFirstColumn="0" w:firstRowLastColumn="0" w:lastRowFirstColumn="0" w:lastRowLastColumn="0"/>
            <w:tcW w:w="1166" w:type="pct"/>
          </w:tcPr>
          <w:p w14:paraId="48885AAB" w14:textId="77777777" w:rsidR="00492849" w:rsidRPr="00C11636" w:rsidRDefault="00492849" w:rsidP="00492849">
            <w:pPr>
              <w:rPr>
                <w:rFonts w:cs="Times New Roman"/>
              </w:rPr>
            </w:pPr>
            <w:r w:rsidRPr="00C11636">
              <w:rPr>
                <w:rFonts w:cs="Times New Roman"/>
              </w:rPr>
              <w:t>Number/severity of family needs</w:t>
            </w:r>
          </w:p>
        </w:tc>
        <w:tc>
          <w:tcPr>
            <w:tcW w:w="1911" w:type="pct"/>
          </w:tcPr>
          <w:p w14:paraId="05AC5E0C" w14:textId="6DAB35CE" w:rsidR="00492849" w:rsidRPr="00C11636" w:rsidRDefault="00492849"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Multiple parents and larger family size. Mental health and trauma affecting the family</w:t>
            </w:r>
          </w:p>
        </w:tc>
        <w:tc>
          <w:tcPr>
            <w:tcW w:w="1923" w:type="pct"/>
          </w:tcPr>
          <w:p w14:paraId="0B05BAD5" w14:textId="18C8ACF4" w:rsidR="00492849" w:rsidRPr="00C11636" w:rsidRDefault="006A45B2"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S</w:t>
            </w:r>
            <w:r w:rsidR="00492849" w:rsidRPr="00C11636">
              <w:rPr>
                <w:rFonts w:cs="Times New Roman"/>
                <w:color w:val="000000"/>
              </w:rPr>
              <w:t xml:space="preserve">maller family, parents are </w:t>
            </w:r>
            <w:r w:rsidRPr="00C11636">
              <w:rPr>
                <w:rFonts w:cs="Times New Roman"/>
                <w:color w:val="000000"/>
              </w:rPr>
              <w:t>a couple, they</w:t>
            </w:r>
            <w:r w:rsidR="00492849" w:rsidRPr="00C11636">
              <w:rPr>
                <w:rFonts w:cs="Times New Roman"/>
                <w:color w:val="000000"/>
              </w:rPr>
              <w:t xml:space="preserve"> cooperate with services</w:t>
            </w:r>
          </w:p>
        </w:tc>
      </w:tr>
      <w:tr w:rsidR="00492849" w:rsidRPr="00C11636" w14:paraId="5AD42DD3" w14:textId="75DD4023" w:rsidTr="00C1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7331DC0F" w14:textId="77777777" w:rsidR="00492849" w:rsidRPr="00C11636" w:rsidRDefault="00492849" w:rsidP="00492849">
            <w:pPr>
              <w:rPr>
                <w:rFonts w:cs="Times New Roman"/>
              </w:rPr>
            </w:pPr>
            <w:r w:rsidRPr="00C11636">
              <w:rPr>
                <w:rFonts w:cs="Times New Roman"/>
              </w:rPr>
              <w:t>Barriers to engaging with child/family</w:t>
            </w:r>
          </w:p>
        </w:tc>
        <w:tc>
          <w:tcPr>
            <w:tcW w:w="1911" w:type="pct"/>
          </w:tcPr>
          <w:p w14:paraId="6F3D4672" w14:textId="659FBEFE" w:rsidR="00492849" w:rsidRPr="00C11636" w:rsidRDefault="00492849" w:rsidP="006A45B2">
            <w:pPr>
              <w:cnfStyle w:val="000000100000" w:firstRow="0" w:lastRow="0" w:firstColumn="0" w:lastColumn="0" w:oddVBand="0" w:evenVBand="0" w:oddHBand="1" w:evenHBand="0" w:firstRowFirstColumn="0" w:firstRowLastColumn="0" w:lastRowFirstColumn="0" w:lastRowLastColumn="0"/>
              <w:rPr>
                <w:rFonts w:cs="Times New Roman"/>
                <w:i/>
                <w:iCs/>
              </w:rPr>
            </w:pPr>
            <w:r w:rsidRPr="00C11636">
              <w:rPr>
                <w:rFonts w:cs="Times New Roman"/>
                <w:color w:val="000000"/>
              </w:rPr>
              <w:t>Parents unwilling/unable to communicate and cooperate with services or case worker due to lack of resources or personal choice</w:t>
            </w:r>
            <w:r w:rsidR="006A45B2" w:rsidRPr="00C11636">
              <w:rPr>
                <w:rFonts w:cs="Times New Roman"/>
                <w:color w:val="000000"/>
              </w:rPr>
              <w:t>.</w:t>
            </w:r>
          </w:p>
        </w:tc>
        <w:tc>
          <w:tcPr>
            <w:tcW w:w="1923" w:type="pct"/>
          </w:tcPr>
          <w:p w14:paraId="43F278D9" w14:textId="50A46955" w:rsidR="00492849" w:rsidRPr="00C11636" w:rsidRDefault="00492849" w:rsidP="006A45B2">
            <w:pPr>
              <w:cnfStyle w:val="000000100000" w:firstRow="0" w:lastRow="0" w:firstColumn="0" w:lastColumn="0" w:oddVBand="0" w:evenVBand="0" w:oddHBand="1" w:evenHBand="0" w:firstRowFirstColumn="0" w:firstRowLastColumn="0" w:lastRowFirstColumn="0" w:lastRowLastColumn="0"/>
              <w:rPr>
                <w:rFonts w:cs="Times New Roman"/>
                <w:i/>
                <w:iCs/>
              </w:rPr>
            </w:pPr>
            <w:r w:rsidRPr="00C11636">
              <w:rPr>
                <w:rFonts w:cs="Times New Roman"/>
                <w:color w:val="000000"/>
              </w:rPr>
              <w:t>Parents willing to cooperate and communicate with county and services.</w:t>
            </w:r>
          </w:p>
        </w:tc>
      </w:tr>
      <w:tr w:rsidR="00492849" w:rsidRPr="00C11636" w14:paraId="1D381CD4" w14:textId="4812F9AB" w:rsidTr="00C11636">
        <w:tc>
          <w:tcPr>
            <w:cnfStyle w:val="001000000000" w:firstRow="0" w:lastRow="0" w:firstColumn="1" w:lastColumn="0" w:oddVBand="0" w:evenVBand="0" w:oddHBand="0" w:evenHBand="0" w:firstRowFirstColumn="0" w:firstRowLastColumn="0" w:lastRowFirstColumn="0" w:lastRowLastColumn="0"/>
            <w:tcW w:w="1166" w:type="pct"/>
          </w:tcPr>
          <w:p w14:paraId="18EED398" w14:textId="77777777" w:rsidR="00492849" w:rsidRPr="00C11636" w:rsidRDefault="00492849" w:rsidP="00492849">
            <w:pPr>
              <w:rPr>
                <w:rFonts w:cs="Times New Roman"/>
              </w:rPr>
            </w:pPr>
            <w:r w:rsidRPr="00C11636">
              <w:rPr>
                <w:rFonts w:cs="Times New Roman"/>
              </w:rPr>
              <w:t>CP worker experience/skillset</w:t>
            </w:r>
          </w:p>
        </w:tc>
        <w:tc>
          <w:tcPr>
            <w:tcW w:w="1911" w:type="pct"/>
          </w:tcPr>
          <w:p w14:paraId="36737EC1" w14:textId="4BDB46AC" w:rsidR="00492849" w:rsidRPr="00C11636" w:rsidRDefault="00492849"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 xml:space="preserve">Less experienced CP worker (typically under 1 year) being assigned overwhelming and complex cases they may not fully be able to handle yet. </w:t>
            </w:r>
          </w:p>
        </w:tc>
        <w:tc>
          <w:tcPr>
            <w:tcW w:w="1923" w:type="pct"/>
          </w:tcPr>
          <w:p w14:paraId="1B00F0FC" w14:textId="363316A4" w:rsidR="00492849" w:rsidRPr="00C11636" w:rsidRDefault="00492849" w:rsidP="006A45B2">
            <w:pPr>
              <w:cnfStyle w:val="000000000000" w:firstRow="0" w:lastRow="0" w:firstColumn="0" w:lastColumn="0" w:oddVBand="0" w:evenVBand="0" w:oddHBand="0" w:evenHBand="0" w:firstRowFirstColumn="0" w:firstRowLastColumn="0" w:lastRowFirstColumn="0" w:lastRowLastColumn="0"/>
              <w:rPr>
                <w:rFonts w:cs="Times New Roman"/>
              </w:rPr>
            </w:pPr>
            <w:r w:rsidRPr="00C11636">
              <w:rPr>
                <w:rFonts w:cs="Times New Roman"/>
                <w:color w:val="000000"/>
              </w:rPr>
              <w:t>Being able to adjust to new laws/policy.</w:t>
            </w:r>
          </w:p>
        </w:tc>
      </w:tr>
      <w:tr w:rsidR="00492849" w:rsidRPr="00C11636" w14:paraId="55B488BD" w14:textId="0E29C18D" w:rsidTr="00C1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0CB6A3BF" w14:textId="77777777" w:rsidR="00492849" w:rsidRPr="00C11636" w:rsidRDefault="00492849" w:rsidP="00492849">
            <w:pPr>
              <w:rPr>
                <w:rFonts w:cs="Times New Roman"/>
              </w:rPr>
            </w:pPr>
            <w:r w:rsidRPr="00C11636">
              <w:rPr>
                <w:rFonts w:cs="Times New Roman"/>
              </w:rPr>
              <w:t>Level of child need</w:t>
            </w:r>
          </w:p>
        </w:tc>
        <w:tc>
          <w:tcPr>
            <w:tcW w:w="1911" w:type="pct"/>
          </w:tcPr>
          <w:p w14:paraId="32BD47E9" w14:textId="53460DDD" w:rsidR="00492849" w:rsidRPr="00C11636" w:rsidRDefault="00492849" w:rsidP="006A45B2">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color w:val="000000"/>
              </w:rPr>
              <w:t>Mental health issues that put the child at risk of self-harm or harming others. Overall bad mental health state that was left untreated. Overall high medical needs of children and parents.</w:t>
            </w:r>
          </w:p>
        </w:tc>
        <w:tc>
          <w:tcPr>
            <w:tcW w:w="1923" w:type="pct"/>
          </w:tcPr>
          <w:p w14:paraId="72F2F511" w14:textId="07A661E8" w:rsidR="00492849" w:rsidRPr="00C11636" w:rsidRDefault="00492849" w:rsidP="00492849">
            <w:pPr>
              <w:cnfStyle w:val="000000100000" w:firstRow="0" w:lastRow="0" w:firstColumn="0" w:lastColumn="0" w:oddVBand="0" w:evenVBand="0" w:oddHBand="1" w:evenHBand="0" w:firstRowFirstColumn="0" w:firstRowLastColumn="0" w:lastRowFirstColumn="0" w:lastRowLastColumn="0"/>
              <w:rPr>
                <w:rFonts w:cs="Times New Roman"/>
              </w:rPr>
            </w:pPr>
            <w:r w:rsidRPr="00C11636">
              <w:rPr>
                <w:rFonts w:cs="Times New Roman"/>
                <w:color w:val="000000"/>
              </w:rPr>
              <w:t xml:space="preserve">Child </w:t>
            </w:r>
            <w:proofErr w:type="gramStart"/>
            <w:r w:rsidRPr="00C11636">
              <w:rPr>
                <w:rFonts w:cs="Times New Roman"/>
                <w:color w:val="000000"/>
              </w:rPr>
              <w:t>is able to</w:t>
            </w:r>
            <w:proofErr w:type="gramEnd"/>
            <w:r w:rsidRPr="00C11636">
              <w:rPr>
                <w:rFonts w:cs="Times New Roman"/>
                <w:color w:val="000000"/>
              </w:rPr>
              <w:t xml:space="preserve"> understand and participate in the process.</w:t>
            </w:r>
            <w:r w:rsidR="006A45B2" w:rsidRPr="00C11636">
              <w:rPr>
                <w:rFonts w:cs="Times New Roman"/>
                <w:color w:val="000000"/>
              </w:rPr>
              <w:t xml:space="preserve"> The child has healthy and appropriate development for their age.</w:t>
            </w:r>
          </w:p>
        </w:tc>
      </w:tr>
    </w:tbl>
    <w:p w14:paraId="31C735EB" w14:textId="77777777" w:rsidR="00572C7A" w:rsidRPr="00572C7A" w:rsidRDefault="00572C7A" w:rsidP="00681A1B">
      <w:pPr>
        <w:rPr>
          <w:rFonts w:ascii="Times New Roman" w:hAnsi="Times New Roman" w:cs="Times New Roman"/>
          <w:sz w:val="24"/>
          <w:szCs w:val="24"/>
        </w:rPr>
      </w:pPr>
    </w:p>
    <w:p w14:paraId="347F7CF2" w14:textId="7614DB9E" w:rsidR="00A91AA0" w:rsidRDefault="00A91AA0" w:rsidP="00A91AA0">
      <w:pPr>
        <w:pStyle w:val="Heading3"/>
      </w:pPr>
      <w:r>
        <w:t xml:space="preserve">Additional layers or calculations </w:t>
      </w:r>
      <w:r w:rsidR="00853D16">
        <w:t>to better</w:t>
      </w:r>
      <w:r>
        <w:t xml:space="preserve"> understand workload intensity</w:t>
      </w:r>
      <w:r>
        <w:rPr>
          <w:rStyle w:val="FootnoteReference"/>
        </w:rPr>
        <w:footnoteReference w:id="3"/>
      </w:r>
    </w:p>
    <w:p w14:paraId="4F21F2F7" w14:textId="6541C037" w:rsidR="00C06F0D" w:rsidRPr="00A91AA0" w:rsidRDefault="00CD343E" w:rsidP="00A91AA0">
      <w:r w:rsidRPr="00A91AA0">
        <w:t xml:space="preserve">Participants described that switching quickly between types of cases is difficult due to the different knowledge required of each type and the rapport-building needed for sexual abuse cases particularly. Similarly, they recognized that a “type” of case may overlap with other challenging factors, such as chemical dependency relapse (and managing those needs) or other significant mental health issues in parents. </w:t>
      </w:r>
    </w:p>
    <w:p w14:paraId="2677FA10" w14:textId="2D4030E3" w:rsidR="00CD343E" w:rsidRPr="00A91AA0" w:rsidRDefault="00CD343E" w:rsidP="00A91AA0">
      <w:r w:rsidRPr="00A91AA0">
        <w:t>Another salient theme underpinning responses was the responsibility caseworkers hold; ultimately, any challenge to the “system” (</w:t>
      </w:r>
      <w:proofErr w:type="gramStart"/>
      <w:r w:rsidRPr="00A91AA0">
        <w:t>e.g.</w:t>
      </w:r>
      <w:proofErr w:type="gramEnd"/>
      <w:r w:rsidRPr="00A91AA0">
        <w:t xml:space="preserve"> uncooperative parent, court delays, foster parent not providing transportation, etc.) falls on the caseworker to manage. </w:t>
      </w:r>
      <w:r w:rsidR="00A91AA0" w:rsidRPr="00A91AA0">
        <w:t>The presence of any “high intensity” variable further has ripple effects to other work, creating a cascading waterfall of work.</w:t>
      </w:r>
    </w:p>
    <w:p w14:paraId="21900706" w14:textId="5699C741" w:rsidR="00C06F0D" w:rsidRPr="00A05037" w:rsidRDefault="00787BB7" w:rsidP="00787BB7">
      <w:pPr>
        <w:pStyle w:val="Heading3"/>
      </w:pPr>
      <w:r>
        <w:lastRenderedPageBreak/>
        <w:t>Variables and systems to minimize workload burden</w:t>
      </w:r>
      <w:r w:rsidR="00A91AA0">
        <w:rPr>
          <w:rStyle w:val="FootnoteReference"/>
          <w:rFonts w:ascii="Times New Roman" w:hAnsi="Times New Roman" w:cs="Times New Roman"/>
          <w:b/>
          <w:bCs/>
        </w:rPr>
        <w:footnoteReference w:id="4"/>
      </w:r>
    </w:p>
    <w:p w14:paraId="3208814C" w14:textId="43B6F247" w:rsidR="00C06F0D" w:rsidRPr="00C11636" w:rsidRDefault="00422A65" w:rsidP="00681A1B">
      <w:pPr>
        <w:rPr>
          <w:rFonts w:cs="Times New Roman"/>
        </w:rPr>
      </w:pPr>
      <w:r w:rsidRPr="00C11636">
        <w:rPr>
          <w:rFonts w:cs="Times New Roman"/>
        </w:rPr>
        <w:t>Participants consistently reflected that having enough staff was the obvious choice for minimizing workload burden. Other agency-specific variables included:</w:t>
      </w:r>
    </w:p>
    <w:p w14:paraId="5C11ACAC" w14:textId="3E5689E2" w:rsidR="00422A65" w:rsidRPr="00C11636" w:rsidRDefault="00422A65" w:rsidP="007F36EB">
      <w:pPr>
        <w:pStyle w:val="ListParagraph"/>
        <w:numPr>
          <w:ilvl w:val="0"/>
          <w:numId w:val="15"/>
        </w:numPr>
        <w:rPr>
          <w:rFonts w:cs="Times New Roman"/>
        </w:rPr>
      </w:pPr>
      <w:r w:rsidRPr="00C11636">
        <w:rPr>
          <w:rFonts w:cs="Times New Roman"/>
        </w:rPr>
        <w:t xml:space="preserve">Appropriate supervisor to staff ratio, related as well to the supervisor having in-depth knowledge of caseworker </w:t>
      </w:r>
      <w:proofErr w:type="gramStart"/>
      <w:r w:rsidRPr="00C11636">
        <w:rPr>
          <w:rFonts w:cs="Times New Roman"/>
        </w:rPr>
        <w:t>caseload</w:t>
      </w:r>
      <w:proofErr w:type="gramEnd"/>
    </w:p>
    <w:p w14:paraId="18F4675D" w14:textId="6D68C3F1" w:rsidR="00422A65" w:rsidRPr="00C11636" w:rsidRDefault="005B46DF" w:rsidP="007F36EB">
      <w:pPr>
        <w:pStyle w:val="ListParagraph"/>
        <w:numPr>
          <w:ilvl w:val="0"/>
          <w:numId w:val="15"/>
        </w:numPr>
        <w:rPr>
          <w:rFonts w:cs="Times New Roman"/>
        </w:rPr>
      </w:pPr>
      <w:r w:rsidRPr="00C11636">
        <w:rPr>
          <w:rFonts w:cs="Times New Roman"/>
        </w:rPr>
        <w:t xml:space="preserve">Resources are readily available and competent to meet family </w:t>
      </w:r>
      <w:proofErr w:type="gramStart"/>
      <w:r w:rsidRPr="00C11636">
        <w:rPr>
          <w:rFonts w:cs="Times New Roman"/>
        </w:rPr>
        <w:t>needs</w:t>
      </w:r>
      <w:proofErr w:type="gramEnd"/>
    </w:p>
    <w:p w14:paraId="31F762BF" w14:textId="64554B5F" w:rsidR="005B46DF" w:rsidRPr="00C11636" w:rsidRDefault="005B46DF" w:rsidP="007F36EB">
      <w:pPr>
        <w:pStyle w:val="ListParagraph"/>
        <w:numPr>
          <w:ilvl w:val="0"/>
          <w:numId w:val="15"/>
        </w:numPr>
        <w:rPr>
          <w:rFonts w:cs="Times New Roman"/>
        </w:rPr>
      </w:pPr>
      <w:r w:rsidRPr="00C11636">
        <w:rPr>
          <w:rFonts w:cs="Times New Roman"/>
        </w:rPr>
        <w:t xml:space="preserve">Experienced staff surround the </w:t>
      </w:r>
      <w:proofErr w:type="gramStart"/>
      <w:r w:rsidRPr="00C11636">
        <w:rPr>
          <w:rFonts w:cs="Times New Roman"/>
        </w:rPr>
        <w:t>case</w:t>
      </w:r>
      <w:proofErr w:type="gramEnd"/>
    </w:p>
    <w:p w14:paraId="61B5C82C" w14:textId="30635B45" w:rsidR="005B46DF" w:rsidRPr="00C11636" w:rsidRDefault="005B46DF" w:rsidP="007F36EB">
      <w:pPr>
        <w:pStyle w:val="ListParagraph"/>
        <w:numPr>
          <w:ilvl w:val="0"/>
          <w:numId w:val="15"/>
        </w:numPr>
        <w:rPr>
          <w:rFonts w:cs="Times New Roman"/>
        </w:rPr>
      </w:pPr>
      <w:r w:rsidRPr="00C11636">
        <w:rPr>
          <w:rFonts w:cs="Times New Roman"/>
        </w:rPr>
        <w:t>Team-based approach to the work (</w:t>
      </w:r>
      <w:proofErr w:type="gramStart"/>
      <w:r w:rsidRPr="00C11636">
        <w:rPr>
          <w:rFonts w:cs="Times New Roman"/>
        </w:rPr>
        <w:t>e.g.</w:t>
      </w:r>
      <w:proofErr w:type="gramEnd"/>
      <w:r w:rsidRPr="00C11636">
        <w:rPr>
          <w:rFonts w:cs="Times New Roman"/>
        </w:rPr>
        <w:t xml:space="preserve"> relationships between colleagues are supportive and effective)</w:t>
      </w:r>
    </w:p>
    <w:p w14:paraId="024264F8" w14:textId="77777777" w:rsidR="005B46DF" w:rsidRPr="00C11636" w:rsidRDefault="005B46DF" w:rsidP="007F36EB">
      <w:pPr>
        <w:pStyle w:val="ListParagraph"/>
        <w:numPr>
          <w:ilvl w:val="0"/>
          <w:numId w:val="15"/>
        </w:numPr>
        <w:rPr>
          <w:rFonts w:cs="Times New Roman"/>
        </w:rPr>
      </w:pPr>
      <w:r w:rsidRPr="00C11636">
        <w:rPr>
          <w:rFonts w:cs="Times New Roman"/>
        </w:rPr>
        <w:t>Specialized staff, existence of case aids</w:t>
      </w:r>
    </w:p>
    <w:p w14:paraId="6EB13184" w14:textId="2A1D099E" w:rsidR="005B46DF" w:rsidRPr="00C11636" w:rsidRDefault="005B46DF" w:rsidP="007F36EB">
      <w:pPr>
        <w:pStyle w:val="ListParagraph"/>
        <w:numPr>
          <w:ilvl w:val="0"/>
          <w:numId w:val="15"/>
        </w:numPr>
        <w:rPr>
          <w:rFonts w:cs="Times New Roman"/>
        </w:rPr>
      </w:pPr>
      <w:r w:rsidRPr="00C11636">
        <w:rPr>
          <w:rFonts w:cs="Times New Roman"/>
        </w:rPr>
        <w:t xml:space="preserve">Flexible schedules to account for higher workload times of the </w:t>
      </w:r>
      <w:proofErr w:type="gramStart"/>
      <w:r w:rsidRPr="00C11636">
        <w:rPr>
          <w:rFonts w:cs="Times New Roman"/>
        </w:rPr>
        <w:t>year</w:t>
      </w:r>
      <w:proofErr w:type="gramEnd"/>
      <w:r w:rsidRPr="00C11636">
        <w:rPr>
          <w:rFonts w:cs="Times New Roman"/>
        </w:rPr>
        <w:t xml:space="preserve"> </w:t>
      </w:r>
    </w:p>
    <w:p w14:paraId="08AAE9CB" w14:textId="7CAD82E7" w:rsidR="005B46DF" w:rsidRPr="00C11636" w:rsidRDefault="005B46DF" w:rsidP="005B46DF">
      <w:pPr>
        <w:rPr>
          <w:rFonts w:cs="Times New Roman"/>
        </w:rPr>
      </w:pPr>
      <w:r w:rsidRPr="00C11636">
        <w:rPr>
          <w:rFonts w:cs="Times New Roman"/>
        </w:rPr>
        <w:t>Additional ideas participants had for minimizing workload, and have the potential to be measured in understanding workload are:</w:t>
      </w:r>
    </w:p>
    <w:p w14:paraId="2783E42F" w14:textId="39A0D918" w:rsidR="005B46DF" w:rsidRPr="00C11636" w:rsidRDefault="005B46DF" w:rsidP="005B46DF">
      <w:pPr>
        <w:pStyle w:val="ListParagraph"/>
        <w:numPr>
          <w:ilvl w:val="0"/>
          <w:numId w:val="15"/>
        </w:numPr>
        <w:rPr>
          <w:rFonts w:cs="Times New Roman"/>
        </w:rPr>
      </w:pPr>
      <w:r w:rsidRPr="00C11636">
        <w:rPr>
          <w:rFonts w:cs="Times New Roman"/>
        </w:rPr>
        <w:t>Using virtual technology with clients, courts, and accessing training</w:t>
      </w:r>
    </w:p>
    <w:p w14:paraId="1E9AB6CB" w14:textId="1D8069D9" w:rsidR="005B46DF" w:rsidRPr="00C11636" w:rsidRDefault="005B46DF" w:rsidP="005B46DF">
      <w:pPr>
        <w:pStyle w:val="ListParagraph"/>
        <w:numPr>
          <w:ilvl w:val="0"/>
          <w:numId w:val="15"/>
        </w:numPr>
        <w:rPr>
          <w:rFonts w:cs="Times New Roman"/>
        </w:rPr>
      </w:pPr>
      <w:r w:rsidRPr="00C11636">
        <w:rPr>
          <w:rFonts w:cs="Times New Roman"/>
        </w:rPr>
        <w:t>Easing the documentation requirements, and/or loosening time reporting requirements</w:t>
      </w:r>
    </w:p>
    <w:p w14:paraId="69E40165" w14:textId="77777777" w:rsidR="00C06F0D" w:rsidRPr="00681A1B" w:rsidRDefault="00C06F0D" w:rsidP="00681A1B">
      <w:pPr>
        <w:rPr>
          <w:rFonts w:ascii="Times New Roman" w:hAnsi="Times New Roman" w:cs="Times New Roman"/>
          <w:sz w:val="24"/>
          <w:szCs w:val="24"/>
        </w:rPr>
      </w:pPr>
    </w:p>
    <w:p w14:paraId="1A5E2378" w14:textId="4C1E1E04" w:rsidR="007114FA" w:rsidRDefault="007114FA">
      <w:pPr>
        <w:rPr>
          <w:rFonts w:ascii="Times New Roman" w:hAnsi="Times New Roman" w:cs="Times New Roman"/>
          <w:sz w:val="24"/>
          <w:szCs w:val="24"/>
          <w:u w:val="single"/>
        </w:rPr>
      </w:pPr>
    </w:p>
    <w:sectPr w:rsidR="007114FA" w:rsidSect="008744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2E8E" w14:textId="77777777" w:rsidR="007114FA" w:rsidRDefault="007114FA" w:rsidP="007114FA">
      <w:pPr>
        <w:spacing w:after="0" w:line="240" w:lineRule="auto"/>
      </w:pPr>
      <w:r>
        <w:separator/>
      </w:r>
    </w:p>
  </w:endnote>
  <w:endnote w:type="continuationSeparator" w:id="0">
    <w:p w14:paraId="3CC403A4" w14:textId="77777777" w:rsidR="007114FA" w:rsidRDefault="007114FA" w:rsidP="0071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005402"/>
      <w:docPartObj>
        <w:docPartGallery w:val="Page Numbers (Bottom of Page)"/>
        <w:docPartUnique/>
      </w:docPartObj>
    </w:sdtPr>
    <w:sdtEndPr>
      <w:rPr>
        <w:noProof/>
      </w:rPr>
    </w:sdtEndPr>
    <w:sdtContent>
      <w:p w14:paraId="3C2AE1FB" w14:textId="50832244" w:rsidR="00865368" w:rsidRDefault="00853D16">
        <w:pPr>
          <w:pStyle w:val="Footer"/>
          <w:jc w:val="right"/>
        </w:pPr>
        <w:r>
          <w:rPr>
            <w:noProof/>
          </w:rPr>
          <w:drawing>
            <wp:anchor distT="0" distB="0" distL="114300" distR="114300" simplePos="0" relativeHeight="251658240" behindDoc="1" locked="0" layoutInCell="1" allowOverlap="1" wp14:anchorId="6A9DBC84" wp14:editId="324448EA">
              <wp:simplePos x="0" y="0"/>
              <wp:positionH relativeFrom="column">
                <wp:posOffset>76200</wp:posOffset>
              </wp:positionH>
              <wp:positionV relativeFrom="paragraph">
                <wp:posOffset>37465</wp:posOffset>
              </wp:positionV>
              <wp:extent cx="1314450" cy="157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4450" cy="157480"/>
                      </a:xfrm>
                      <a:prstGeom prst="rect">
                        <a:avLst/>
                      </a:prstGeom>
                    </pic:spPr>
                  </pic:pic>
                </a:graphicData>
              </a:graphic>
            </wp:anchor>
          </w:drawing>
        </w:r>
        <w:r>
          <w:t xml:space="preserve">    </w:t>
        </w:r>
      </w:p>
    </w:sdtContent>
  </w:sdt>
  <w:p w14:paraId="7426834F" w14:textId="728AC3B6" w:rsidR="00865368" w:rsidRDefault="0086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6A93" w14:textId="77777777" w:rsidR="007114FA" w:rsidRDefault="007114FA" w:rsidP="007114FA">
      <w:pPr>
        <w:spacing w:after="0" w:line="240" w:lineRule="auto"/>
      </w:pPr>
      <w:r>
        <w:separator/>
      </w:r>
    </w:p>
  </w:footnote>
  <w:footnote w:type="continuationSeparator" w:id="0">
    <w:p w14:paraId="2AA52A43" w14:textId="77777777" w:rsidR="007114FA" w:rsidRDefault="007114FA" w:rsidP="007114FA">
      <w:pPr>
        <w:spacing w:after="0" w:line="240" w:lineRule="auto"/>
      </w:pPr>
      <w:r>
        <w:continuationSeparator/>
      </w:r>
    </w:p>
  </w:footnote>
  <w:footnote w:id="1">
    <w:p w14:paraId="5F018A4A" w14:textId="1C565919" w:rsidR="007114FA" w:rsidRDefault="007114FA">
      <w:pPr>
        <w:pStyle w:val="FootnoteText"/>
      </w:pPr>
      <w:r>
        <w:rPr>
          <w:rStyle w:val="FootnoteReference"/>
        </w:rPr>
        <w:footnoteRef/>
      </w:r>
      <w:r>
        <w:t xml:space="preserve"> </w:t>
      </w:r>
      <w:r w:rsidRPr="007114FA">
        <w:rPr>
          <w:rFonts w:ascii="Times New Roman" w:hAnsi="Times New Roman" w:cs="Times New Roman"/>
        </w:rPr>
        <w:t xml:space="preserve">Barriers </w:t>
      </w:r>
      <w:r w:rsidR="00331419">
        <w:rPr>
          <w:rFonts w:ascii="Times New Roman" w:hAnsi="Times New Roman" w:cs="Times New Roman"/>
        </w:rPr>
        <w:t>to engaging was</w:t>
      </w:r>
      <w:r w:rsidRPr="007114FA">
        <w:rPr>
          <w:rFonts w:ascii="Times New Roman" w:hAnsi="Times New Roman" w:cs="Times New Roman"/>
        </w:rPr>
        <w:t xml:space="preserve"> only voted upon in two workshops </w:t>
      </w:r>
      <w:proofErr w:type="gramStart"/>
      <w:r w:rsidRPr="007114FA">
        <w:rPr>
          <w:rFonts w:ascii="Times New Roman" w:hAnsi="Times New Roman" w:cs="Times New Roman"/>
        </w:rPr>
        <w:t>due to the fact that</w:t>
      </w:r>
      <w:proofErr w:type="gramEnd"/>
      <w:r w:rsidRPr="007114FA">
        <w:rPr>
          <w:rFonts w:ascii="Times New Roman" w:hAnsi="Times New Roman" w:cs="Times New Roman"/>
        </w:rPr>
        <w:t xml:space="preserve"> they were added after Workshop 2A.</w:t>
      </w:r>
    </w:p>
  </w:footnote>
  <w:footnote w:id="2">
    <w:p w14:paraId="15FBE09B" w14:textId="1EA87717" w:rsidR="007114FA" w:rsidRDefault="007114FA" w:rsidP="007114FA">
      <w:pPr>
        <w:pStyle w:val="FootnoteText"/>
      </w:pPr>
      <w:r>
        <w:rPr>
          <w:rStyle w:val="FootnoteReference"/>
        </w:rPr>
        <w:footnoteRef/>
      </w:r>
      <w:r>
        <w:t xml:space="preserve"> </w:t>
      </w:r>
      <w:r w:rsidRPr="007114FA">
        <w:rPr>
          <w:rFonts w:ascii="Times New Roman" w:hAnsi="Times New Roman" w:cs="Times New Roman"/>
        </w:rPr>
        <w:t xml:space="preserve">ICWA involvement </w:t>
      </w:r>
      <w:r w:rsidR="00331419">
        <w:rPr>
          <w:rFonts w:ascii="Times New Roman" w:hAnsi="Times New Roman" w:cs="Times New Roman"/>
        </w:rPr>
        <w:t>was</w:t>
      </w:r>
      <w:r w:rsidRPr="007114FA">
        <w:rPr>
          <w:rFonts w:ascii="Times New Roman" w:hAnsi="Times New Roman" w:cs="Times New Roman"/>
        </w:rPr>
        <w:t xml:space="preserve"> only voted upon in two workshops </w:t>
      </w:r>
      <w:proofErr w:type="gramStart"/>
      <w:r w:rsidRPr="007114FA">
        <w:rPr>
          <w:rFonts w:ascii="Times New Roman" w:hAnsi="Times New Roman" w:cs="Times New Roman"/>
        </w:rPr>
        <w:t>due to the fact that</w:t>
      </w:r>
      <w:proofErr w:type="gramEnd"/>
      <w:r w:rsidRPr="007114FA">
        <w:rPr>
          <w:rFonts w:ascii="Times New Roman" w:hAnsi="Times New Roman" w:cs="Times New Roman"/>
        </w:rPr>
        <w:t xml:space="preserve"> they were added after Workshop 2A.</w:t>
      </w:r>
    </w:p>
  </w:footnote>
  <w:footnote w:id="3">
    <w:p w14:paraId="12DEBC5D" w14:textId="6352EAEF" w:rsidR="00A91AA0" w:rsidRPr="00A91AA0" w:rsidRDefault="00A91AA0" w:rsidP="00A91AA0">
      <w:pPr>
        <w:rPr>
          <w:i/>
          <w:iCs/>
        </w:rPr>
      </w:pPr>
      <w:r>
        <w:rPr>
          <w:rStyle w:val="FootnoteReference"/>
        </w:rPr>
        <w:footnoteRef/>
      </w:r>
      <w:r>
        <w:t xml:space="preserve"> </w:t>
      </w:r>
      <w:r w:rsidRPr="00A91AA0">
        <w:rPr>
          <w:i/>
          <w:iCs/>
          <w:sz w:val="20"/>
          <w:szCs w:val="20"/>
        </w:rPr>
        <w:t>Some small groups were asked: “How does the interaction between workload variables impact your workload?”</w:t>
      </w:r>
    </w:p>
  </w:footnote>
  <w:footnote w:id="4">
    <w:p w14:paraId="7B7BA5DE" w14:textId="49AF040F" w:rsidR="00A91AA0" w:rsidRPr="00A91AA0" w:rsidRDefault="00A91AA0" w:rsidP="00A91AA0">
      <w:pPr>
        <w:rPr>
          <w:rFonts w:cstheme="minorHAnsi"/>
          <w:i/>
          <w:iCs/>
        </w:rPr>
      </w:pPr>
      <w:r>
        <w:rPr>
          <w:rStyle w:val="FootnoteReference"/>
        </w:rPr>
        <w:footnoteRef/>
      </w:r>
      <w:r>
        <w:t xml:space="preserve"> </w:t>
      </w:r>
      <w:r w:rsidRPr="00A91AA0">
        <w:rPr>
          <w:rFonts w:cstheme="minorHAnsi"/>
          <w:i/>
          <w:iCs/>
          <w:sz w:val="20"/>
          <w:szCs w:val="20"/>
        </w:rPr>
        <w:t>Some small groups were asked: “Describe what helps to minimize your workload burden,” or “Imagine your group is now in charge of your agency’s budget. Given what you know about workloads, what would you do to minimize workload?” and “</w:t>
      </w:r>
      <w:proofErr w:type="gramStart"/>
      <w:r w:rsidRPr="00A91AA0">
        <w:rPr>
          <w:rFonts w:cstheme="minorHAnsi"/>
          <w:i/>
          <w:iCs/>
          <w:sz w:val="20"/>
          <w:szCs w:val="20"/>
        </w:rPr>
        <w:t>What’s</w:t>
      </w:r>
      <w:proofErr w:type="gramEnd"/>
      <w:r w:rsidRPr="00A91AA0">
        <w:rPr>
          <w:rFonts w:cstheme="minorHAnsi"/>
          <w:i/>
          <w:iCs/>
          <w:sz w:val="20"/>
          <w:szCs w:val="20"/>
        </w:rPr>
        <w:t xml:space="preserve"> worked well that could reduce your workload burden? What are some easy wins when it comes to reducing workload?”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1CCB"/>
    <w:multiLevelType w:val="hybridMultilevel"/>
    <w:tmpl w:val="C09E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0553"/>
    <w:multiLevelType w:val="hybridMultilevel"/>
    <w:tmpl w:val="594E736A"/>
    <w:lvl w:ilvl="0" w:tplc="686E9A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7494D"/>
    <w:multiLevelType w:val="hybridMultilevel"/>
    <w:tmpl w:val="9AD2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6E0E"/>
    <w:multiLevelType w:val="hybridMultilevel"/>
    <w:tmpl w:val="A716A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B2149"/>
    <w:multiLevelType w:val="hybridMultilevel"/>
    <w:tmpl w:val="51E6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30717"/>
    <w:multiLevelType w:val="hybridMultilevel"/>
    <w:tmpl w:val="37AA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E7FED"/>
    <w:multiLevelType w:val="hybridMultilevel"/>
    <w:tmpl w:val="0F34A4C6"/>
    <w:lvl w:ilvl="0" w:tplc="A920CD8C">
      <w:start w:val="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F14E6"/>
    <w:multiLevelType w:val="hybridMultilevel"/>
    <w:tmpl w:val="DFF4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C4B21"/>
    <w:multiLevelType w:val="hybridMultilevel"/>
    <w:tmpl w:val="0CF43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E4999"/>
    <w:multiLevelType w:val="hybridMultilevel"/>
    <w:tmpl w:val="923C8F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4346E"/>
    <w:multiLevelType w:val="hybridMultilevel"/>
    <w:tmpl w:val="776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021C9"/>
    <w:multiLevelType w:val="hybridMultilevel"/>
    <w:tmpl w:val="C1C0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B697F"/>
    <w:multiLevelType w:val="hybridMultilevel"/>
    <w:tmpl w:val="D7B6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578EE"/>
    <w:multiLevelType w:val="hybridMultilevel"/>
    <w:tmpl w:val="3AAC4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A7F6D"/>
    <w:multiLevelType w:val="hybridMultilevel"/>
    <w:tmpl w:val="776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8"/>
  </w:num>
  <w:num w:numId="5">
    <w:abstractNumId w:val="13"/>
  </w:num>
  <w:num w:numId="6">
    <w:abstractNumId w:val="5"/>
  </w:num>
  <w:num w:numId="7">
    <w:abstractNumId w:val="1"/>
  </w:num>
  <w:num w:numId="8">
    <w:abstractNumId w:val="9"/>
  </w:num>
  <w:num w:numId="9">
    <w:abstractNumId w:val="14"/>
  </w:num>
  <w:num w:numId="10">
    <w:abstractNumId w:val="10"/>
  </w:num>
  <w:num w:numId="11">
    <w:abstractNumId w:val="11"/>
  </w:num>
  <w:num w:numId="12">
    <w:abstractNumId w:val="2"/>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21"/>
    <w:rsid w:val="0012597A"/>
    <w:rsid w:val="00331419"/>
    <w:rsid w:val="003E2D21"/>
    <w:rsid w:val="00422A65"/>
    <w:rsid w:val="00446B17"/>
    <w:rsid w:val="00492849"/>
    <w:rsid w:val="004E2469"/>
    <w:rsid w:val="00572C7A"/>
    <w:rsid w:val="005A08A2"/>
    <w:rsid w:val="005B46DF"/>
    <w:rsid w:val="005D63E8"/>
    <w:rsid w:val="00612A4A"/>
    <w:rsid w:val="00626EBB"/>
    <w:rsid w:val="006331D2"/>
    <w:rsid w:val="00681A1B"/>
    <w:rsid w:val="006A45B2"/>
    <w:rsid w:val="006A6799"/>
    <w:rsid w:val="00704F6E"/>
    <w:rsid w:val="007114FA"/>
    <w:rsid w:val="00717F27"/>
    <w:rsid w:val="00787BB7"/>
    <w:rsid w:val="008219F4"/>
    <w:rsid w:val="00853D16"/>
    <w:rsid w:val="00865368"/>
    <w:rsid w:val="00874420"/>
    <w:rsid w:val="009158EA"/>
    <w:rsid w:val="00927E83"/>
    <w:rsid w:val="009A7B5D"/>
    <w:rsid w:val="009B42F5"/>
    <w:rsid w:val="00A05037"/>
    <w:rsid w:val="00A13E91"/>
    <w:rsid w:val="00A1759E"/>
    <w:rsid w:val="00A37E70"/>
    <w:rsid w:val="00A45908"/>
    <w:rsid w:val="00A91AA0"/>
    <w:rsid w:val="00AB2E7A"/>
    <w:rsid w:val="00AF1816"/>
    <w:rsid w:val="00B153E8"/>
    <w:rsid w:val="00BB12BB"/>
    <w:rsid w:val="00C06F0D"/>
    <w:rsid w:val="00C11636"/>
    <w:rsid w:val="00C40A07"/>
    <w:rsid w:val="00CB2507"/>
    <w:rsid w:val="00CC4056"/>
    <w:rsid w:val="00CD343E"/>
    <w:rsid w:val="00D24006"/>
    <w:rsid w:val="00D61CC7"/>
    <w:rsid w:val="00F7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D5DF7"/>
  <w15:chartTrackingRefBased/>
  <w15:docId w15:val="{72540042-43DC-4549-B69C-4747DDF7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65"/>
  </w:style>
  <w:style w:type="paragraph" w:styleId="Heading1">
    <w:name w:val="heading 1"/>
    <w:basedOn w:val="Normal"/>
    <w:next w:val="Normal"/>
    <w:link w:val="Heading1Char"/>
    <w:uiPriority w:val="9"/>
    <w:qFormat/>
    <w:rsid w:val="00681A1B"/>
    <w:pPr>
      <w:keepNext/>
      <w:keepLines/>
      <w:spacing w:before="240" w:after="0"/>
      <w:outlineLvl w:val="0"/>
    </w:pPr>
    <w:rPr>
      <w:rFonts w:asciiTheme="majorHAnsi" w:eastAsiaTheme="majorEastAsia" w:hAnsiTheme="majorHAnsi" w:cstheme="majorBidi"/>
      <w:color w:val="47569A" w:themeColor="accent1" w:themeShade="BF"/>
      <w:sz w:val="32"/>
      <w:szCs w:val="32"/>
    </w:rPr>
  </w:style>
  <w:style w:type="paragraph" w:styleId="Heading2">
    <w:name w:val="heading 2"/>
    <w:basedOn w:val="Normal"/>
    <w:next w:val="Normal"/>
    <w:link w:val="Heading2Char"/>
    <w:autoRedefine/>
    <w:uiPriority w:val="9"/>
    <w:unhideWhenUsed/>
    <w:qFormat/>
    <w:rsid w:val="00853D16"/>
    <w:pPr>
      <w:keepNext/>
      <w:keepLines/>
      <w:spacing w:before="40" w:after="0"/>
      <w:outlineLvl w:val="1"/>
    </w:pPr>
    <w:rPr>
      <w:rFonts w:asciiTheme="majorHAnsi" w:eastAsiaTheme="majorEastAsia" w:hAnsiTheme="majorHAnsi" w:cstheme="majorBidi"/>
      <w:color w:val="47569A" w:themeColor="accent1" w:themeShade="BF"/>
      <w:sz w:val="28"/>
      <w:szCs w:val="26"/>
    </w:rPr>
  </w:style>
  <w:style w:type="paragraph" w:styleId="Heading3">
    <w:name w:val="heading 3"/>
    <w:basedOn w:val="Normal"/>
    <w:next w:val="Normal"/>
    <w:link w:val="Heading3Char"/>
    <w:uiPriority w:val="9"/>
    <w:unhideWhenUsed/>
    <w:qFormat/>
    <w:rsid w:val="00865368"/>
    <w:pPr>
      <w:keepNext/>
      <w:keepLines/>
      <w:spacing w:before="40" w:after="0"/>
      <w:outlineLvl w:val="2"/>
    </w:pPr>
    <w:rPr>
      <w:rFonts w:asciiTheme="majorHAnsi" w:eastAsiaTheme="majorEastAsia" w:hAnsiTheme="majorHAnsi" w:cstheme="majorBidi"/>
      <w:color w:val="2F396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21"/>
    <w:pPr>
      <w:ind w:left="720"/>
      <w:contextualSpacing/>
    </w:pPr>
  </w:style>
  <w:style w:type="table" w:styleId="TableGrid">
    <w:name w:val="Table Grid"/>
    <w:basedOn w:val="TableNormal"/>
    <w:uiPriority w:val="39"/>
    <w:rsid w:val="009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A7B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114FA"/>
    <w:rPr>
      <w:sz w:val="16"/>
      <w:szCs w:val="16"/>
    </w:rPr>
  </w:style>
  <w:style w:type="paragraph" w:styleId="CommentText">
    <w:name w:val="annotation text"/>
    <w:basedOn w:val="Normal"/>
    <w:link w:val="CommentTextChar"/>
    <w:uiPriority w:val="99"/>
    <w:semiHidden/>
    <w:unhideWhenUsed/>
    <w:rsid w:val="007114FA"/>
    <w:pPr>
      <w:spacing w:line="240" w:lineRule="auto"/>
    </w:pPr>
    <w:rPr>
      <w:sz w:val="20"/>
      <w:szCs w:val="20"/>
    </w:rPr>
  </w:style>
  <w:style w:type="character" w:customStyle="1" w:styleId="CommentTextChar">
    <w:name w:val="Comment Text Char"/>
    <w:basedOn w:val="DefaultParagraphFont"/>
    <w:link w:val="CommentText"/>
    <w:uiPriority w:val="99"/>
    <w:semiHidden/>
    <w:rsid w:val="007114FA"/>
    <w:rPr>
      <w:sz w:val="20"/>
      <w:szCs w:val="20"/>
    </w:rPr>
  </w:style>
  <w:style w:type="paragraph" w:styleId="CommentSubject">
    <w:name w:val="annotation subject"/>
    <w:basedOn w:val="CommentText"/>
    <w:next w:val="CommentText"/>
    <w:link w:val="CommentSubjectChar"/>
    <w:uiPriority w:val="99"/>
    <w:semiHidden/>
    <w:unhideWhenUsed/>
    <w:rsid w:val="007114FA"/>
    <w:rPr>
      <w:b/>
      <w:bCs/>
    </w:rPr>
  </w:style>
  <w:style w:type="character" w:customStyle="1" w:styleId="CommentSubjectChar">
    <w:name w:val="Comment Subject Char"/>
    <w:basedOn w:val="CommentTextChar"/>
    <w:link w:val="CommentSubject"/>
    <w:uiPriority w:val="99"/>
    <w:semiHidden/>
    <w:rsid w:val="007114FA"/>
    <w:rPr>
      <w:b/>
      <w:bCs/>
      <w:sz w:val="20"/>
      <w:szCs w:val="20"/>
    </w:rPr>
  </w:style>
  <w:style w:type="paragraph" w:styleId="Header">
    <w:name w:val="header"/>
    <w:basedOn w:val="Normal"/>
    <w:link w:val="HeaderChar"/>
    <w:uiPriority w:val="99"/>
    <w:unhideWhenUsed/>
    <w:rsid w:val="0071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4FA"/>
  </w:style>
  <w:style w:type="paragraph" w:styleId="Footer">
    <w:name w:val="footer"/>
    <w:basedOn w:val="Normal"/>
    <w:link w:val="FooterChar"/>
    <w:uiPriority w:val="99"/>
    <w:unhideWhenUsed/>
    <w:rsid w:val="0071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4FA"/>
  </w:style>
  <w:style w:type="paragraph" w:styleId="FootnoteText">
    <w:name w:val="footnote text"/>
    <w:basedOn w:val="Normal"/>
    <w:link w:val="FootnoteTextChar"/>
    <w:uiPriority w:val="99"/>
    <w:semiHidden/>
    <w:unhideWhenUsed/>
    <w:rsid w:val="00711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4FA"/>
    <w:rPr>
      <w:sz w:val="20"/>
      <w:szCs w:val="20"/>
    </w:rPr>
  </w:style>
  <w:style w:type="character" w:styleId="FootnoteReference">
    <w:name w:val="footnote reference"/>
    <w:basedOn w:val="DefaultParagraphFont"/>
    <w:uiPriority w:val="99"/>
    <w:semiHidden/>
    <w:unhideWhenUsed/>
    <w:rsid w:val="007114FA"/>
    <w:rPr>
      <w:vertAlign w:val="superscript"/>
    </w:rPr>
  </w:style>
  <w:style w:type="character" w:customStyle="1" w:styleId="Heading1Char">
    <w:name w:val="Heading 1 Char"/>
    <w:basedOn w:val="DefaultParagraphFont"/>
    <w:link w:val="Heading1"/>
    <w:uiPriority w:val="9"/>
    <w:rsid w:val="00681A1B"/>
    <w:rPr>
      <w:rFonts w:asciiTheme="majorHAnsi" w:eastAsiaTheme="majorEastAsia" w:hAnsiTheme="majorHAnsi" w:cstheme="majorBidi"/>
      <w:color w:val="47569A" w:themeColor="accent1" w:themeShade="BF"/>
      <w:sz w:val="32"/>
      <w:szCs w:val="32"/>
    </w:rPr>
  </w:style>
  <w:style w:type="paragraph" w:styleId="NormalWeb">
    <w:name w:val="Normal (Web)"/>
    <w:basedOn w:val="Normal"/>
    <w:uiPriority w:val="99"/>
    <w:semiHidden/>
    <w:unhideWhenUsed/>
    <w:rsid w:val="00A05037"/>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6A45B2"/>
    <w:pPr>
      <w:spacing w:after="0" w:line="240" w:lineRule="auto"/>
    </w:pPr>
    <w:tblPr>
      <w:tblStyleRowBandSize w:val="1"/>
      <w:tblStyleColBandSize w:val="1"/>
      <w:tblBorders>
        <w:top w:val="single" w:sz="4" w:space="0" w:color="C5CBE4" w:themeColor="accent1" w:themeTint="66"/>
        <w:left w:val="single" w:sz="4" w:space="0" w:color="C5CBE4" w:themeColor="accent1" w:themeTint="66"/>
        <w:bottom w:val="single" w:sz="4" w:space="0" w:color="C5CBE4" w:themeColor="accent1" w:themeTint="66"/>
        <w:right w:val="single" w:sz="4" w:space="0" w:color="C5CBE4" w:themeColor="accent1" w:themeTint="66"/>
        <w:insideH w:val="single" w:sz="4" w:space="0" w:color="C5CBE4" w:themeColor="accent1" w:themeTint="66"/>
        <w:insideV w:val="single" w:sz="4" w:space="0" w:color="C5CBE4" w:themeColor="accent1" w:themeTint="66"/>
      </w:tblBorders>
    </w:tblPr>
    <w:tblStylePr w:type="firstRow">
      <w:rPr>
        <w:b/>
        <w:bCs/>
      </w:rPr>
      <w:tblPr/>
      <w:tcPr>
        <w:tcBorders>
          <w:bottom w:val="single" w:sz="12" w:space="0" w:color="A9B1D7" w:themeColor="accent1" w:themeTint="99"/>
        </w:tcBorders>
      </w:tcPr>
    </w:tblStylePr>
    <w:tblStylePr w:type="lastRow">
      <w:rPr>
        <w:b/>
        <w:bCs/>
      </w:rPr>
      <w:tblPr/>
      <w:tcPr>
        <w:tcBorders>
          <w:top w:val="double" w:sz="2" w:space="0" w:color="A9B1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A45B2"/>
    <w:pPr>
      <w:spacing w:after="0" w:line="240" w:lineRule="auto"/>
    </w:pPr>
    <w:tblPr>
      <w:tblStyleRowBandSize w:val="1"/>
      <w:tblStyleColBandSize w:val="1"/>
      <w:tblBorders>
        <w:top w:val="single" w:sz="2" w:space="0" w:color="A9B1D7" w:themeColor="accent1" w:themeTint="99"/>
        <w:bottom w:val="single" w:sz="2" w:space="0" w:color="A9B1D7" w:themeColor="accent1" w:themeTint="99"/>
        <w:insideH w:val="single" w:sz="2" w:space="0" w:color="A9B1D7" w:themeColor="accent1" w:themeTint="99"/>
        <w:insideV w:val="single" w:sz="2" w:space="0" w:color="A9B1D7" w:themeColor="accent1" w:themeTint="99"/>
      </w:tblBorders>
    </w:tblPr>
    <w:tblStylePr w:type="firstRow">
      <w:rPr>
        <w:b/>
        <w:bCs/>
      </w:rPr>
      <w:tblPr/>
      <w:tcPr>
        <w:tcBorders>
          <w:top w:val="nil"/>
          <w:bottom w:val="single" w:sz="12" w:space="0" w:color="A9B1D7" w:themeColor="accent1" w:themeTint="99"/>
          <w:insideH w:val="nil"/>
          <w:insideV w:val="nil"/>
        </w:tcBorders>
        <w:shd w:val="clear" w:color="auto" w:fill="FFFFFF" w:themeFill="background1"/>
      </w:tcPr>
    </w:tblStylePr>
    <w:tblStylePr w:type="lastRow">
      <w:rPr>
        <w:b/>
        <w:bCs/>
      </w:rPr>
      <w:tblPr/>
      <w:tcPr>
        <w:tcBorders>
          <w:top w:val="double" w:sz="2" w:space="0" w:color="A9B1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4F1" w:themeFill="accent1" w:themeFillTint="33"/>
      </w:tcPr>
    </w:tblStylePr>
    <w:tblStylePr w:type="band1Horz">
      <w:tblPr/>
      <w:tcPr>
        <w:shd w:val="clear" w:color="auto" w:fill="E2E4F1" w:themeFill="accent1" w:themeFillTint="33"/>
      </w:tcPr>
    </w:tblStylePr>
  </w:style>
  <w:style w:type="character" w:customStyle="1" w:styleId="Heading2Char">
    <w:name w:val="Heading 2 Char"/>
    <w:basedOn w:val="DefaultParagraphFont"/>
    <w:link w:val="Heading2"/>
    <w:uiPriority w:val="9"/>
    <w:rsid w:val="00853D16"/>
    <w:rPr>
      <w:rFonts w:asciiTheme="majorHAnsi" w:eastAsiaTheme="majorEastAsia" w:hAnsiTheme="majorHAnsi" w:cstheme="majorBidi"/>
      <w:color w:val="47569A" w:themeColor="accent1" w:themeShade="BF"/>
      <w:sz w:val="28"/>
      <w:szCs w:val="26"/>
    </w:rPr>
  </w:style>
  <w:style w:type="paragraph" w:styleId="Title">
    <w:name w:val="Title"/>
    <w:basedOn w:val="Normal"/>
    <w:next w:val="Normal"/>
    <w:link w:val="TitleChar"/>
    <w:uiPriority w:val="10"/>
    <w:qFormat/>
    <w:rsid w:val="00853D1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853D16"/>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uiPriority w:val="11"/>
    <w:qFormat/>
    <w:rsid w:val="008653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6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65368"/>
    <w:rPr>
      <w:rFonts w:asciiTheme="majorHAnsi" w:eastAsiaTheme="majorEastAsia" w:hAnsiTheme="majorHAnsi" w:cstheme="majorBidi"/>
      <w:color w:val="2F396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074">
      <w:bodyDiv w:val="1"/>
      <w:marLeft w:val="0"/>
      <w:marRight w:val="0"/>
      <w:marTop w:val="0"/>
      <w:marBottom w:val="0"/>
      <w:divBdr>
        <w:top w:val="none" w:sz="0" w:space="0" w:color="auto"/>
        <w:left w:val="none" w:sz="0" w:space="0" w:color="auto"/>
        <w:bottom w:val="none" w:sz="0" w:space="0" w:color="auto"/>
        <w:right w:val="none" w:sz="0" w:space="0" w:color="auto"/>
      </w:divBdr>
    </w:div>
    <w:div w:id="246424980">
      <w:bodyDiv w:val="1"/>
      <w:marLeft w:val="0"/>
      <w:marRight w:val="0"/>
      <w:marTop w:val="0"/>
      <w:marBottom w:val="0"/>
      <w:divBdr>
        <w:top w:val="none" w:sz="0" w:space="0" w:color="auto"/>
        <w:left w:val="none" w:sz="0" w:space="0" w:color="auto"/>
        <w:bottom w:val="none" w:sz="0" w:space="0" w:color="auto"/>
        <w:right w:val="none" w:sz="0" w:space="0" w:color="auto"/>
      </w:divBdr>
    </w:div>
    <w:div w:id="255093155">
      <w:bodyDiv w:val="1"/>
      <w:marLeft w:val="0"/>
      <w:marRight w:val="0"/>
      <w:marTop w:val="0"/>
      <w:marBottom w:val="0"/>
      <w:divBdr>
        <w:top w:val="none" w:sz="0" w:space="0" w:color="auto"/>
        <w:left w:val="none" w:sz="0" w:space="0" w:color="auto"/>
        <w:bottom w:val="none" w:sz="0" w:space="0" w:color="auto"/>
        <w:right w:val="none" w:sz="0" w:space="0" w:color="auto"/>
      </w:divBdr>
    </w:div>
    <w:div w:id="1036394865">
      <w:bodyDiv w:val="1"/>
      <w:marLeft w:val="0"/>
      <w:marRight w:val="0"/>
      <w:marTop w:val="0"/>
      <w:marBottom w:val="0"/>
      <w:divBdr>
        <w:top w:val="none" w:sz="0" w:space="0" w:color="auto"/>
        <w:left w:val="none" w:sz="0" w:space="0" w:color="auto"/>
        <w:bottom w:val="none" w:sz="0" w:space="0" w:color="auto"/>
        <w:right w:val="none" w:sz="0" w:space="0" w:color="auto"/>
      </w:divBdr>
    </w:div>
    <w:div w:id="16707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TIG-DC01.theimprovegroup.com\Common\Current%20Projects\DHS%20-%20Child%20Welfare%20Caseload%20Study\3.%20Engagement%20Phase\Workshop%202%20Taking%20Stock\Data%20and%20analysis\Workshop%202a%20-%20Poll%20Report.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68142138271153E-2"/>
          <c:y val="6.3872247458186315E-2"/>
          <c:w val="0.90327008729580349"/>
          <c:h val="0.69945111788033798"/>
        </c:manualLayout>
      </c:layout>
      <c:barChart>
        <c:barDir val="col"/>
        <c:grouping val="clustered"/>
        <c:varyColors val="0"/>
        <c:ser>
          <c:idx val="0"/>
          <c:order val="0"/>
          <c:spPr>
            <a:solidFill>
              <a:schemeClr val="accent2">
                <a:lumMod val="75000"/>
              </a:schemeClr>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'Workshop 2a - Poll Report'!$L$11:$L$14</c:f>
              <c:strCache>
                <c:ptCount val="4"/>
                <c:pt idx="0">
                  <c:v>0-1 years</c:v>
                </c:pt>
                <c:pt idx="1">
                  <c:v>2-5 years</c:v>
                </c:pt>
                <c:pt idx="2">
                  <c:v>6-10 years</c:v>
                </c:pt>
                <c:pt idx="3">
                  <c:v>11 years +</c:v>
                </c:pt>
              </c:strCache>
            </c:strRef>
          </c:cat>
          <c:val>
            <c:numRef>
              <c:f>'Workshop 2a - Poll Report'!$M$11:$M$14</c:f>
              <c:numCache>
                <c:formatCode>0</c:formatCode>
                <c:ptCount val="4"/>
                <c:pt idx="0">
                  <c:v>13.96</c:v>
                </c:pt>
                <c:pt idx="1">
                  <c:v>31.96</c:v>
                </c:pt>
                <c:pt idx="2">
                  <c:v>16.16</c:v>
                </c:pt>
                <c:pt idx="3">
                  <c:v>21.92</c:v>
                </c:pt>
              </c:numCache>
            </c:numRef>
          </c:val>
          <c:extLst>
            <c:ext xmlns:c16="http://schemas.microsoft.com/office/drawing/2014/chart" uri="{C3380CC4-5D6E-409C-BE32-E72D297353CC}">
              <c16:uniqueId val="{00000000-C538-49DB-8A0E-FB7181D1E768}"/>
            </c:ext>
          </c:extLst>
        </c:ser>
        <c:dLbls>
          <c:showLegendKey val="0"/>
          <c:showVal val="0"/>
          <c:showCatName val="0"/>
          <c:showSerName val="0"/>
          <c:showPercent val="0"/>
          <c:showBubbleSize val="0"/>
        </c:dLbls>
        <c:gapWidth val="40"/>
        <c:axId val="1981011984"/>
        <c:axId val="1981007824"/>
      </c:barChart>
      <c:catAx>
        <c:axId val="1981011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981007824"/>
        <c:crosses val="autoZero"/>
        <c:auto val="1"/>
        <c:lblAlgn val="ctr"/>
        <c:lblOffset val="100"/>
        <c:noMultiLvlLbl val="0"/>
      </c:catAx>
      <c:valAx>
        <c:axId val="1981007824"/>
        <c:scaling>
          <c:orientation val="minMax"/>
          <c:max val="35"/>
          <c:min val="0"/>
        </c:scaling>
        <c:delete val="1"/>
        <c:axPos val="l"/>
        <c:numFmt formatCode="0" sourceLinked="1"/>
        <c:majorTickMark val="out"/>
        <c:minorTickMark val="none"/>
        <c:tickLblPos val="nextTo"/>
        <c:crossAx val="1981011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 Improve Group WORD Theme">
  <a:themeElements>
    <a:clrScheme name="Custom 1">
      <a:dk1>
        <a:sysClr val="windowText" lastClr="000000"/>
      </a:dk1>
      <a:lt1>
        <a:sysClr val="window" lastClr="FFFFFF"/>
      </a:lt1>
      <a:dk2>
        <a:srgbClr val="44546A"/>
      </a:dk2>
      <a:lt2>
        <a:srgbClr val="959480"/>
      </a:lt2>
      <a:accent1>
        <a:srgbClr val="707EBD"/>
      </a:accent1>
      <a:accent2>
        <a:srgbClr val="00B6BE"/>
      </a:accent2>
      <a:accent3>
        <a:srgbClr val="7FB539"/>
      </a:accent3>
      <a:accent4>
        <a:srgbClr val="F9A61A"/>
      </a:accent4>
      <a:accent5>
        <a:srgbClr val="F47A55"/>
      </a:accent5>
      <a:accent6>
        <a:srgbClr val="F04E63"/>
      </a:accent6>
      <a:hlink>
        <a:srgbClr val="00888E"/>
      </a:hlink>
      <a:folHlink>
        <a:srgbClr val="00888E"/>
      </a:folHlink>
    </a:clrScheme>
    <a:fontScheme name="The Improve Group">
      <a:majorFont>
        <a:latin typeface="Verdan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CF19-2C52-4AF1-96BD-63107E5A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Velazquez Olmedo</dc:creator>
  <cp:keywords/>
  <dc:description/>
  <cp:lastModifiedBy>Sara S. McGarraugh</cp:lastModifiedBy>
  <cp:revision>2</cp:revision>
  <dcterms:created xsi:type="dcterms:W3CDTF">2021-07-13T21:05:00Z</dcterms:created>
  <dcterms:modified xsi:type="dcterms:W3CDTF">2021-07-13T21:05:00Z</dcterms:modified>
</cp:coreProperties>
</file>